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318" w:tblpY="979"/>
        <w:tblW w:w="9889" w:type="dxa"/>
        <w:tblInd w:w="0" w:type="dxa"/>
        <w:tblLayout w:type="autofit"/>
        <w:tblCellMar>
          <w:top w:w="0" w:type="dxa"/>
          <w:left w:w="108" w:type="dxa"/>
          <w:bottom w:w="0" w:type="dxa"/>
          <w:right w:w="108" w:type="dxa"/>
        </w:tblCellMar>
      </w:tblPr>
      <w:tblGrid>
        <w:gridCol w:w="3936"/>
        <w:gridCol w:w="5953"/>
      </w:tblGrid>
      <w:tr w14:paraId="1460D64E">
        <w:tblPrEx>
          <w:tblCellMar>
            <w:top w:w="0" w:type="dxa"/>
            <w:left w:w="108" w:type="dxa"/>
            <w:bottom w:w="0" w:type="dxa"/>
            <w:right w:w="108" w:type="dxa"/>
          </w:tblCellMar>
        </w:tblPrEx>
        <w:tc>
          <w:tcPr>
            <w:tcW w:w="3936" w:type="dxa"/>
          </w:tcPr>
          <w:p w14:paraId="0505628D">
            <w:pPr>
              <w:spacing w:before="0" w:after="0" w:line="276" w:lineRule="auto"/>
              <w:jc w:val="center"/>
              <w:rPr>
                <w:rFonts w:eastAsia="Times New Roman"/>
                <w:b/>
                <w:spacing w:val="-4"/>
                <w:sz w:val="24"/>
                <w:szCs w:val="24"/>
                <w:lang w:val="vi-VN"/>
              </w:rPr>
            </w:pPr>
            <w:bookmarkStart w:id="5" w:name="_GoBack"/>
            <w:bookmarkEnd w:id="5"/>
            <w:r>
              <w:rPr>
                <w:rFonts w:eastAsia="Times New Roman"/>
                <w:strike/>
                <w:vertAlign w:val="superscript"/>
                <w:lang w:val="vi-VN" w:eastAsia="vi-VN"/>
              </w:rPr>
              <mc:AlternateContent>
                <mc:Choice Requires="wps">
                  <w:drawing>
                    <wp:anchor distT="0" distB="0" distL="114300" distR="114300" simplePos="0" relativeHeight="251660288" behindDoc="0" locked="0" layoutInCell="1" allowOverlap="1">
                      <wp:simplePos x="0" y="0"/>
                      <wp:positionH relativeFrom="column">
                        <wp:posOffset>824230</wp:posOffset>
                      </wp:positionH>
                      <wp:positionV relativeFrom="paragraph">
                        <wp:posOffset>194310</wp:posOffset>
                      </wp:positionV>
                      <wp:extent cx="739140" cy="6985"/>
                      <wp:effectExtent l="0" t="0" r="23495" b="317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39022" cy="6798"/>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4.9pt;margin-top:15.3pt;height:0.55pt;width:58.2pt;z-index:251660288;mso-width-relative:page;mso-height-relative:page;" filled="f" stroked="t" coordsize="21600,21600" o:gfxdata="UEsDBAoAAAAAAIdO4kAAAAAAAAAAAAAAAAAEAAAAZHJzL1BLAwQUAAAACACHTuJARTAApdcAAAAJ&#10;AQAADwAAAGRycy9kb3ducmV2LnhtbE2PwU7DMBBE70j8g7VIXBC1YyBtQ5wKIXHgSFuJqxsvSSBe&#10;R7HTlH49ywmOszOaeVtuTr4XRxxjF8hAtlAgkOrgOmoM7HcvtysQMVlytg+EBr4xwqa6vCht4cJM&#10;b3jcpkZwCcXCGmhTGgopY92it3ERBiT2PsLobWI5NtKNduZy30utVC697YgXWjvgc4v113byBjBO&#10;D5l6Wvtm/3qeb971+XMedsZcX2XqEUTCU/oLwy8+o0PFTIcwkYuiZ63XjJ4M3KkcBAf0fa5BHPiQ&#10;LUFWpfz/QfUDUEsDBBQAAAAIAIdO4kD+ghP53AEAAMMDAAAOAAAAZHJzL2Uyb0RvYy54bWytU02P&#10;2yAQvVfqf0DcGyeu9iNWnFWVaHvZtpGy/QEEYxstMGggcfLvOxAn7W4ve1gfEDDMm/fejBcPR2vY&#10;QWHQ4Go+m0w5U05Co11X89/Pj1/uOQtRuEYYcKrmJxX4w/Lzp8XgK1VCD6ZRyAjEhWrwNe9j9FVR&#10;BNkrK8IEvHIUbAGtiHTErmhQDIRuTVFOp7fFANh4BKlCoNv1OchHRHwPILStlmoNcm+Vi2dUVEZE&#10;khR67QNfZrZtq2T81bZBRWZqTkpjXqkI7XdpLZYLUXUofK/lSEG8h8IbTVZoR0WvUGsRBduj/g/K&#10;aokQoI0TCbY4C8mOkIrZ9I032154lbWQ1cFfTQ8fByt/HjbIdFPzkjMnLDV8G1Horo/sGyIMbAXO&#10;kY2ArExuDT5UlLRyG0x65dFt/RPIl8AcrHrhOpVZP588Qc1SRvEqJR2Cp5q74Qc09EbsI2Trji3a&#10;BEmmsGPu0OnaIXWMTNLl3df5tCSmkkK3d/P7jC+qS6rHEL8rsCxtah5GJVcJs1xIHJ5CTMREdUlI&#10;dR08amPyQBjHhprPb8qbnBDA6CYF07OA3W5lkB1EGqn8jSxePUPYu+ZcxLjRhKT77OAOmtMGL+ZQ&#10;bzObcQ7T8Px7ztl//73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UwAKXXAAAACQEAAA8AAAAA&#10;AAAAAQAgAAAAIgAAAGRycy9kb3ducmV2LnhtbFBLAQIUABQAAAAIAIdO4kD+ghP53AEAAMMDAAAO&#10;AAAAAAAAAAEAIAAAACYBAABkcnMvZTJvRG9jLnhtbFBLBQYAAAAABgAGAFkBAAB0BQAAAAA=&#10;">
                      <v:fill on="f" focussize="0,0"/>
                      <v:stroke color="#000000" joinstyle="round"/>
                      <v:imagedata o:title=""/>
                      <o:lock v:ext="edit" aspectratio="f"/>
                    </v:shape>
                  </w:pict>
                </mc:Fallback>
              </mc:AlternateContent>
            </w:r>
            <w:r>
              <w:rPr>
                <w:rFonts w:eastAsia="Times New Roman"/>
                <w:b/>
                <w:spacing w:val="-4"/>
                <w:sz w:val="24"/>
                <w:szCs w:val="24"/>
              </w:rPr>
              <w:t>QUỐC</w:t>
            </w:r>
            <w:r>
              <w:rPr>
                <w:rFonts w:eastAsia="Times New Roman"/>
                <w:b/>
                <w:spacing w:val="-4"/>
                <w:sz w:val="24"/>
                <w:szCs w:val="24"/>
                <w:lang w:val="vi-VN"/>
              </w:rPr>
              <w:t xml:space="preserve"> HỘI</w:t>
            </w:r>
          </w:p>
          <w:p w14:paraId="3AF654FB">
            <w:pPr>
              <w:spacing w:before="0" w:after="0" w:line="276" w:lineRule="auto"/>
              <w:jc w:val="center"/>
              <w:rPr>
                <w:rFonts w:eastAsia="Times New Roman"/>
                <w:b/>
                <w:spacing w:val="-4"/>
                <w:sz w:val="24"/>
                <w:szCs w:val="24"/>
                <w:lang w:val="vi-VN"/>
              </w:rPr>
            </w:pPr>
          </w:p>
          <w:p w14:paraId="3AA260FD">
            <w:pPr>
              <w:spacing w:before="0" w:after="0" w:line="276" w:lineRule="auto"/>
              <w:jc w:val="center"/>
              <w:rPr>
                <w:rFonts w:eastAsia="Times New Roman"/>
                <w:strike/>
                <w:vertAlign w:val="superscript"/>
              </w:rPr>
            </w:pPr>
            <w:r>
              <w:rPr>
                <w:rFonts w:eastAsia="Times New Roman"/>
              </w:rPr>
              <w:t>Nghị</w:t>
            </w:r>
            <w:r>
              <w:rPr>
                <w:rFonts w:eastAsia="Times New Roman"/>
                <w:lang w:val="vi-VN"/>
              </w:rPr>
              <w:t xml:space="preserve"> quyết s</w:t>
            </w:r>
            <w:r>
              <w:rPr>
                <w:rFonts w:eastAsia="Times New Roman"/>
              </w:rPr>
              <w:t>ố: 138/2024</w:t>
            </w:r>
            <w:r>
              <w:rPr>
                <w:rFonts w:eastAsia="Times New Roman"/>
                <w:lang w:val="vi-VN"/>
              </w:rPr>
              <w:t>/QH15</w:t>
            </w:r>
          </w:p>
        </w:tc>
        <w:tc>
          <w:tcPr>
            <w:tcW w:w="5953" w:type="dxa"/>
          </w:tcPr>
          <w:p w14:paraId="026F925F">
            <w:pPr>
              <w:spacing w:before="0" w:after="0" w:line="276" w:lineRule="auto"/>
              <w:jc w:val="center"/>
              <w:rPr>
                <w:rFonts w:eastAsia="Times New Roman"/>
                <w:b/>
                <w:spacing w:val="-4"/>
                <w:sz w:val="24"/>
                <w:szCs w:val="24"/>
              </w:rPr>
            </w:pPr>
            <w:r>
              <w:rPr>
                <w:rFonts w:eastAsia="Times New Roman"/>
                <w:b/>
                <w:spacing w:val="-4"/>
                <w:sz w:val="24"/>
                <w:szCs w:val="24"/>
              </w:rPr>
              <w:t>CỘNG HÒA XÃ HỘI CHỦ NGHĨA VIỆT NAM</w:t>
            </w:r>
          </w:p>
          <w:p w14:paraId="0D4EEC6E">
            <w:pPr>
              <w:spacing w:before="0" w:after="0" w:line="276" w:lineRule="auto"/>
              <w:jc w:val="center"/>
              <w:rPr>
                <w:rFonts w:eastAsia="Times New Roman"/>
                <w:b/>
                <w:sz w:val="26"/>
                <w:szCs w:val="26"/>
              </w:rPr>
            </w:pPr>
            <w:r>
              <w:rPr>
                <w:rFonts w:eastAsia="Times New Roman"/>
                <w:b/>
                <w:sz w:val="26"/>
                <w:szCs w:val="26"/>
              </w:rPr>
              <w:t>Độc lập - Tự do - Hạnh phúc</w:t>
            </w:r>
          </w:p>
          <w:p w14:paraId="27D0E7FE">
            <w:pPr>
              <w:spacing w:before="0" w:after="0" w:line="276" w:lineRule="auto"/>
              <w:jc w:val="center"/>
              <w:rPr>
                <w:rFonts w:eastAsia="Times New Roman"/>
                <w:strike/>
                <w:vertAlign w:val="superscript"/>
              </w:rPr>
            </w:pPr>
            <w:r>
              <w:rPr>
                <w:rFonts w:eastAsia="Times New Roman"/>
                <w:b/>
                <w:lang w:val="vi-VN" w:eastAsia="vi-VN"/>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10160</wp:posOffset>
                      </wp:positionV>
                      <wp:extent cx="1997075" cy="2540"/>
                      <wp:effectExtent l="0" t="0" r="22860" b="35560"/>
                      <wp:wrapNone/>
                      <wp:docPr id="1562817542" name="Straight Arrow Connector 1562817542"/>
                      <wp:cNvGraphicFramePr/>
                      <a:graphic xmlns:a="http://schemas.openxmlformats.org/drawingml/2006/main">
                        <a:graphicData uri="http://schemas.microsoft.com/office/word/2010/wordprocessingShape">
                          <wps:wsp>
                            <wps:cNvCnPr>
                              <a:cxnSpLocks noChangeShapeType="1"/>
                            </wps:cNvCnPr>
                            <wps:spPr bwMode="auto">
                              <a:xfrm flipV="1">
                                <a:off x="0" y="0"/>
                                <a:ext cx="1996951" cy="28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5.25pt;margin-top:0.8pt;height:0.2pt;width:157.25pt;z-index:251659264;mso-width-relative:page;mso-height-relative:page;" filled="f" stroked="t" coordsize="21600,21600" o:gfxdata="UEsDBAoAAAAAAIdO4kAAAAAAAAAAAAAAAAAEAAAAZHJzL1BLAwQUAAAACACHTuJAKF81ytUAAAAH&#10;AQAADwAAAGRycy9kb3ducmV2LnhtbE2PwU7DMBBE70j8g7VI3KjdkoYqxOmhEogDikSBuxsvSdp4&#10;ncZu0v49y4nedjSj2Tf5+uw6MeIQWk8a5jMFAqnytqVaw9fny8MKRIiGrOk8oYYLBlgXtze5yayf&#10;6APHbawFl1DIjIYmxj6TMlQNOhNmvkdi78cPzkSWQy3tYCYud51cKJVKZ1riD43pcdNgddienIYj&#10;PV2+Ezmu9mUZ09e395qwnLS+v5urZxARz/E/DH/4jA4FM+38iWwQHetHteQoHykI9pNkydt2GhYK&#10;ZJHLa/7iF1BLAwQUAAAACACHTuJAGOnuPewBAADgAwAADgAAAGRycy9lMm9Eb2MueG1srVNNj9ow&#10;EL1X6n+wfC8hUUMBEVYVaHvZtkhsezeOk1h1PNbYEPj3HZss+9HLHpqDZXtm3rz3PFndnXvDTgq9&#10;BlvxfDLlTFkJtbZtxX893n+ac+aDsLUwYFXFL8rzu/XHD6vBLVUBHZhaISMQ65eDq3gXgltmmZed&#10;6oWfgFOWgg1gLwIdsc1qFAOh9yYrptNZNgDWDkEq7+l2ew3yERHfAwhNo6Xagjz2yoYrKiojAkny&#10;nXaerxPbplEy/GwarwIzFSelIa3UhPaHuGbrlVi2KFyn5UhBvIfCG0290Jaa3qC2Igh2RP0PVK8l&#10;gocmTCT02VVIcoRU5NM33uw74VTSQlZ7dzPd/z9Y+eO0Q6ZrmoRyVszzL+XngjMrenr5fUCh2y6w&#10;r4gwsA1YS34Cshep5N/g/JJgNnaH0QF5tnv3APKPZxY2nbCtSjoeL44w8+h49qokHrwjFofhO9SU&#10;I44BkpnnBnvWGO1+x8IIToaxc3q9y+311DkwSZf5YjFblDlnkmLFfFqmVmIZUWKtQx++KehZ3FTc&#10;j+pusq4dxOnBh8jxuSAWW7jXxqRpMZYNFV+URZkoeTC6jsGY5rE9bAyyk4jzlr6Rxas0hKOtr02M&#10;Hf2IFlzNPEB92eGTT/Twic04pHGyXp5T9fOPu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F81&#10;ytUAAAAHAQAADwAAAAAAAAABACAAAAAiAAAAZHJzL2Rvd25yZXYueG1sUEsBAhQAFAAAAAgAh07i&#10;QBjp7j3sAQAA4AMAAA4AAAAAAAAAAQAgAAAAJAEAAGRycy9lMm9Eb2MueG1sUEsFBgAAAAAGAAYA&#10;WQEAAIIFAAAAAA==&#10;">
                      <v:fill on="f" focussize="0,0"/>
                      <v:stroke color="#000000" joinstyle="round"/>
                      <v:imagedata o:title=""/>
                      <o:lock v:ext="edit" aspectratio="f"/>
                    </v:shape>
                  </w:pict>
                </mc:Fallback>
              </mc:AlternateContent>
            </w:r>
          </w:p>
        </w:tc>
      </w:tr>
    </w:tbl>
    <w:p w14:paraId="73D072F0">
      <w:pPr>
        <w:spacing w:before="0" w:after="0" w:line="276" w:lineRule="auto"/>
        <w:ind w:right="28"/>
        <w:jc w:val="center"/>
        <w:rPr>
          <w:rFonts w:eastAsia="Times New Roman"/>
          <w:b/>
          <w:sz w:val="20"/>
          <w:szCs w:val="20"/>
          <w:lang/>
        </w:rPr>
      </w:pPr>
    </w:p>
    <w:p w14:paraId="1ED66104">
      <w:pPr>
        <w:spacing w:before="0" w:line="276" w:lineRule="auto"/>
        <w:ind w:right="28"/>
        <w:jc w:val="center"/>
        <w:rPr>
          <w:rFonts w:eastAsia="Times New Roman"/>
          <w:b/>
          <w:lang w:val="vi-VN"/>
        </w:rPr>
      </w:pPr>
      <w:r>
        <w:rPr>
          <w:rFonts w:eastAsia="Times New Roman"/>
          <w:b/>
          <w:lang/>
        </w:rPr>
        <w:t>NGHỊ</w:t>
      </w:r>
      <w:r>
        <w:rPr>
          <w:rFonts w:eastAsia="Times New Roman"/>
          <w:b/>
          <w:lang w:val="vi-VN"/>
        </w:rPr>
        <w:t xml:space="preserve"> QUYẾT</w:t>
      </w:r>
    </w:p>
    <w:p w14:paraId="6BF21F2F">
      <w:pPr>
        <w:spacing w:before="0" w:after="0" w:line="276" w:lineRule="auto"/>
        <w:ind w:left="-170" w:right="-170"/>
        <w:jc w:val="center"/>
        <w:rPr>
          <w:rFonts w:eastAsia="Times New Roman"/>
          <w:b/>
          <w:lang/>
        </w:rPr>
      </w:pPr>
      <w:r>
        <w:rPr>
          <w:rFonts w:eastAsia="Times New Roman"/>
          <w:b/>
          <w:lang/>
        </w:rPr>
        <w:t>Về</w:t>
      </w:r>
      <w:r>
        <w:rPr>
          <w:rFonts w:eastAsia="Times New Roman"/>
          <w:b/>
          <w:lang w:val="vi-VN"/>
        </w:rPr>
        <w:t xml:space="preserve"> chủ trương đầu tư Dự án đ</w:t>
      </w:r>
      <w:r>
        <w:rPr>
          <w:rFonts w:eastAsia="Times New Roman"/>
          <w:b/>
          <w:lang/>
        </w:rPr>
        <w:t>ầu t</w:t>
      </w:r>
      <w:r>
        <w:rPr>
          <w:rFonts w:hint="eastAsia" w:eastAsia="Times New Roman"/>
          <w:b/>
          <w:lang/>
        </w:rPr>
        <w:t>ư</w:t>
      </w:r>
      <w:r>
        <w:rPr>
          <w:rFonts w:eastAsia="Times New Roman"/>
          <w:b/>
          <w:lang/>
        </w:rPr>
        <w:t xml:space="preserve"> xây dựng </w:t>
      </w:r>
      <w:r>
        <w:rPr>
          <w:rFonts w:hint="eastAsia" w:eastAsia="Times New Roman"/>
          <w:b/>
          <w:lang/>
        </w:rPr>
        <w:t>đư</w:t>
      </w:r>
      <w:r>
        <w:rPr>
          <w:rFonts w:eastAsia="Times New Roman"/>
          <w:b/>
          <w:lang/>
        </w:rPr>
        <w:t xml:space="preserve">ờng cao tốc Bắc - Nam </w:t>
      </w:r>
    </w:p>
    <w:p w14:paraId="2154ABCC">
      <w:pPr>
        <w:spacing w:before="0" w:after="0" w:line="276" w:lineRule="auto"/>
        <w:ind w:left="-170" w:right="-170"/>
        <w:jc w:val="center"/>
        <w:rPr>
          <w:rFonts w:eastAsia="Times New Roman"/>
          <w:b/>
          <w:lang w:val="vi-VN"/>
        </w:rPr>
      </w:pPr>
      <w:r>
        <w:rPr>
          <w:rFonts w:eastAsia="Times New Roman"/>
          <w:b/>
          <w:lang/>
        </w:rPr>
        <w:t xml:space="preserve">phía Tây </w:t>
      </w:r>
      <w:r>
        <w:rPr>
          <w:rFonts w:hint="eastAsia" w:eastAsia="Times New Roman"/>
          <w:b/>
          <w:lang/>
        </w:rPr>
        <w:t>đ</w:t>
      </w:r>
      <w:r>
        <w:rPr>
          <w:rFonts w:eastAsia="Times New Roman"/>
          <w:b/>
          <w:lang/>
        </w:rPr>
        <w:t>oạn Gia Nghĩa (</w:t>
      </w:r>
      <w:r>
        <w:rPr>
          <w:rFonts w:hint="eastAsia" w:eastAsia="Times New Roman"/>
          <w:b/>
          <w:lang/>
        </w:rPr>
        <w:t>Đ</w:t>
      </w:r>
      <w:r>
        <w:rPr>
          <w:rFonts w:eastAsia="Times New Roman"/>
          <w:b/>
          <w:lang/>
        </w:rPr>
        <w:t>ắk Nông) - Ch</w:t>
      </w:r>
      <w:r>
        <w:rPr>
          <w:rFonts w:hint="eastAsia" w:eastAsia="Times New Roman"/>
          <w:b/>
          <w:lang/>
        </w:rPr>
        <w:t>ơ</w:t>
      </w:r>
      <w:r>
        <w:rPr>
          <w:rFonts w:eastAsia="Times New Roman"/>
          <w:b/>
          <w:lang/>
        </w:rPr>
        <w:t>n Thành (Bình Ph</w:t>
      </w:r>
      <w:r>
        <w:rPr>
          <w:rFonts w:hint="eastAsia" w:eastAsia="Times New Roman"/>
          <w:b/>
          <w:lang/>
        </w:rPr>
        <w:t>ư</w:t>
      </w:r>
      <w:r>
        <w:rPr>
          <w:rFonts w:eastAsia="Times New Roman"/>
          <w:b/>
          <w:lang/>
        </w:rPr>
        <w:t xml:space="preserve">ớc) </w:t>
      </w:r>
    </w:p>
    <w:p w14:paraId="484F86AD">
      <w:pPr>
        <w:spacing w:before="0" w:after="0" w:line="276" w:lineRule="auto"/>
        <w:ind w:right="28"/>
        <w:jc w:val="center"/>
        <w:rPr>
          <w:rFonts w:eastAsia="Times New Roman"/>
          <w:bCs/>
          <w:lang/>
        </w:rPr>
      </w:pPr>
    </w:p>
    <w:p w14:paraId="2DEE8552">
      <w:pPr>
        <w:spacing w:before="0" w:after="0" w:line="276" w:lineRule="auto"/>
        <w:ind w:right="28"/>
        <w:jc w:val="center"/>
        <w:rPr>
          <w:rFonts w:eastAsia="Times New Roman"/>
          <w:b/>
          <w:bCs/>
          <w:sz w:val="26"/>
          <w:szCs w:val="26"/>
          <w:lang/>
        </w:rPr>
      </w:pPr>
      <w:r>
        <w:rPr>
          <w:rFonts w:eastAsia="Times New Roman"/>
          <w:b/>
          <w:bCs/>
          <w:sz w:val="26"/>
          <w:szCs w:val="26"/>
          <w:lang/>
        </w:rPr>
        <w:t>QUỐC</w:t>
      </w:r>
      <w:r>
        <w:rPr>
          <w:rFonts w:eastAsia="Times New Roman"/>
          <w:b/>
          <w:bCs/>
          <w:sz w:val="26"/>
          <w:szCs w:val="26"/>
          <w:lang w:val="vi-VN"/>
        </w:rPr>
        <w:t xml:space="preserve"> HỘI</w:t>
      </w:r>
    </w:p>
    <w:p w14:paraId="327D78E6">
      <w:pPr>
        <w:spacing w:before="0" w:after="0" w:line="276" w:lineRule="auto"/>
        <w:ind w:right="28"/>
        <w:jc w:val="center"/>
        <w:rPr>
          <w:rFonts w:eastAsia="Times New Roman"/>
          <w:bCs/>
          <w:sz w:val="20"/>
          <w:lang/>
        </w:rPr>
      </w:pPr>
    </w:p>
    <w:p w14:paraId="1293EECB">
      <w:pPr>
        <w:spacing w:before="0"/>
        <w:ind w:firstLine="567"/>
        <w:rPr>
          <w:rFonts w:eastAsia="Times New Roman"/>
        </w:rPr>
      </w:pPr>
      <w:r>
        <w:rPr>
          <w:rFonts w:eastAsia="Times New Roman"/>
          <w:i/>
          <w:iCs/>
          <w:lang w:val="vi-VN" w:eastAsia="vi-VN" w:bidi="vi-VN"/>
        </w:rPr>
        <w:t>Căn cứ Hiến pháp nước Cộng hòa xã hội chủ nghĩa Việt Nam;</w:t>
      </w:r>
    </w:p>
    <w:p w14:paraId="503C900D">
      <w:pPr>
        <w:spacing w:before="0"/>
        <w:ind w:firstLine="567"/>
        <w:jc w:val="both"/>
        <w:rPr>
          <w:rFonts w:eastAsia="Times New Roman"/>
          <w:lang/>
        </w:rPr>
      </w:pPr>
      <w:r>
        <w:rPr>
          <w:rFonts w:ascii="Times New Roman Italic" w:hAnsi="Times New Roman Italic" w:eastAsia="Times New Roman"/>
          <w:i/>
          <w:iCs/>
          <w:spacing w:val="-4"/>
          <w:lang w:val="vi-VN" w:eastAsia="vi-VN" w:bidi="vi-VN"/>
        </w:rPr>
        <w:t>Căn cứ Luật Đầu tư công số 39/2019/QH14 đã được sửa đổi, bổ sung một số điều theo Luật số 64/2020/QH14, Luật số 72/2020/QH14 và Luật số 03/2022/QH15</w:t>
      </w:r>
      <w:r>
        <w:rPr>
          <w:rFonts w:eastAsia="Times New Roman"/>
          <w:i/>
          <w:iCs/>
          <w:lang w:val="vi-VN" w:eastAsia="vi-VN" w:bidi="vi-VN"/>
        </w:rPr>
        <w:t>;</w:t>
      </w:r>
    </w:p>
    <w:p w14:paraId="3E6F264E">
      <w:pPr>
        <w:spacing w:before="0"/>
        <w:ind w:firstLine="567"/>
        <w:jc w:val="both"/>
        <w:rPr>
          <w:rFonts w:eastAsia="Times New Roman"/>
          <w:i/>
          <w:iCs/>
          <w:lang w:val="vi-VN" w:eastAsia="vi-VN" w:bidi="vi-VN"/>
        </w:rPr>
      </w:pPr>
      <w:r>
        <w:rPr>
          <w:rFonts w:eastAsia="Times New Roman"/>
          <w:i/>
          <w:iCs/>
          <w:lang w:val="vi-VN" w:eastAsia="vi-VN" w:bidi="vi-VN"/>
        </w:rPr>
        <w:t>Căn cứ Luật Đầu tư theo phương thức đối tác công tư số 64/2020/QH14 đã được sửa đổi, bổ sung một số điều theo Luật số 03/2022/QH15</w:t>
      </w:r>
      <w:r>
        <w:rPr>
          <w:rFonts w:eastAsia="Times New Roman"/>
          <w:i/>
          <w:iCs/>
          <w:lang w:val="en-GB" w:eastAsia="vi-VN" w:bidi="vi-VN"/>
        </w:rPr>
        <w:t xml:space="preserve"> và Luật số 28/2023/QH15</w:t>
      </w:r>
      <w:r>
        <w:rPr>
          <w:rFonts w:eastAsia="Times New Roman"/>
          <w:i/>
          <w:iCs/>
          <w:lang w:val="vi-VN" w:eastAsia="vi-VN" w:bidi="vi-VN"/>
        </w:rPr>
        <w:t>;</w:t>
      </w:r>
    </w:p>
    <w:p w14:paraId="491D412C">
      <w:pPr>
        <w:spacing w:before="0"/>
        <w:ind w:firstLine="567"/>
        <w:jc w:val="both"/>
        <w:rPr>
          <w:rFonts w:eastAsia="Times New Roman"/>
          <w:lang w:val="vi-VN"/>
        </w:rPr>
      </w:pPr>
      <w:r>
        <w:rPr>
          <w:rFonts w:eastAsia="Times New Roman"/>
          <w:i/>
          <w:iCs/>
          <w:lang w:val="vi-VN" w:eastAsia="vi-VN" w:bidi="vi-VN"/>
        </w:rPr>
        <w:t>Căn cứ Nghị quyết số 29/2021/QH15 ngày 28 tháng 7 n</w:t>
      </w:r>
      <w:r>
        <w:rPr>
          <w:rFonts w:hint="eastAsia" w:eastAsia="Times New Roman"/>
          <w:i/>
          <w:iCs/>
          <w:lang w:val="vi-VN" w:eastAsia="vi-VN" w:bidi="vi-VN"/>
        </w:rPr>
        <w:t>ă</w:t>
      </w:r>
      <w:r>
        <w:rPr>
          <w:rFonts w:eastAsia="Times New Roman"/>
          <w:i/>
          <w:iCs/>
          <w:lang w:val="vi-VN" w:eastAsia="vi-VN" w:bidi="vi-VN"/>
        </w:rPr>
        <w:t xml:space="preserve">m 2021 của Quốc hội về Kế hoạch </w:t>
      </w:r>
      <w:r>
        <w:rPr>
          <w:rFonts w:hint="eastAsia" w:eastAsia="Times New Roman"/>
          <w:i/>
          <w:iCs/>
          <w:lang w:val="vi-VN" w:eastAsia="vi-VN" w:bidi="vi-VN"/>
        </w:rPr>
        <w:t>đ</w:t>
      </w:r>
      <w:r>
        <w:rPr>
          <w:rFonts w:eastAsia="Times New Roman"/>
          <w:i/>
          <w:iCs/>
          <w:lang w:val="vi-VN" w:eastAsia="vi-VN" w:bidi="vi-VN"/>
        </w:rPr>
        <w:t>ầu t</w:t>
      </w:r>
      <w:r>
        <w:rPr>
          <w:rFonts w:hint="eastAsia" w:eastAsia="Times New Roman"/>
          <w:i/>
          <w:iCs/>
          <w:lang w:val="vi-VN" w:eastAsia="vi-VN" w:bidi="vi-VN"/>
        </w:rPr>
        <w:t>ư</w:t>
      </w:r>
      <w:r>
        <w:rPr>
          <w:rFonts w:eastAsia="Times New Roman"/>
          <w:i/>
          <w:iCs/>
          <w:lang w:val="vi-VN" w:eastAsia="vi-VN" w:bidi="vi-VN"/>
        </w:rPr>
        <w:t xml:space="preserve"> công trung hạn giai </w:t>
      </w:r>
      <w:r>
        <w:rPr>
          <w:rFonts w:hint="eastAsia" w:eastAsia="Times New Roman"/>
          <w:i/>
          <w:iCs/>
          <w:lang w:val="vi-VN" w:eastAsia="vi-VN" w:bidi="vi-VN"/>
        </w:rPr>
        <w:t>đ</w:t>
      </w:r>
      <w:r>
        <w:rPr>
          <w:rFonts w:eastAsia="Times New Roman"/>
          <w:i/>
          <w:iCs/>
          <w:lang w:val="vi-VN" w:eastAsia="vi-VN" w:bidi="vi-VN"/>
        </w:rPr>
        <w:t>oạn 2021 - 2025;</w:t>
      </w:r>
    </w:p>
    <w:p w14:paraId="025A0FBA">
      <w:pPr>
        <w:spacing w:before="0" w:after="240"/>
        <w:ind w:firstLine="567"/>
        <w:jc w:val="both"/>
        <w:rPr>
          <w:rFonts w:eastAsia="Times New Roman"/>
          <w:lang w:val="vi-VN"/>
        </w:rPr>
      </w:pPr>
      <w:r>
        <w:rPr>
          <w:rFonts w:eastAsia="Times New Roman"/>
          <w:i/>
          <w:iCs/>
          <w:lang w:val="vi-VN" w:eastAsia="vi-VN" w:bidi="vi-VN"/>
        </w:rPr>
        <w:t xml:space="preserve">Sau khi xem xét Tờ trình số </w:t>
      </w:r>
      <w:r>
        <w:rPr>
          <w:rFonts w:eastAsia="Times New Roman"/>
          <w:i/>
          <w:iCs/>
          <w:lang w:eastAsia="vi-VN" w:bidi="vi-VN"/>
        </w:rPr>
        <w:t>215</w:t>
      </w:r>
      <w:r>
        <w:rPr>
          <w:rFonts w:eastAsia="Times New Roman"/>
          <w:i/>
          <w:iCs/>
          <w:lang w:val="vi-VN" w:eastAsia="vi-VN" w:bidi="vi-VN"/>
        </w:rPr>
        <w:t xml:space="preserve">/TTr-CP ngày </w:t>
      </w:r>
      <w:r>
        <w:rPr>
          <w:rFonts w:eastAsia="Times New Roman"/>
          <w:i/>
          <w:iCs/>
          <w:lang w:eastAsia="vi-VN" w:bidi="vi-VN"/>
        </w:rPr>
        <w:t>04</w:t>
      </w:r>
      <w:r>
        <w:rPr>
          <w:rFonts w:eastAsia="Times New Roman"/>
          <w:i/>
          <w:iCs/>
          <w:lang w:val="vi-VN" w:eastAsia="vi-VN" w:bidi="vi-VN"/>
        </w:rPr>
        <w:t xml:space="preserve"> tháng </w:t>
      </w:r>
      <w:r>
        <w:rPr>
          <w:rFonts w:eastAsia="Times New Roman"/>
          <w:i/>
          <w:iCs/>
          <w:lang w:eastAsia="vi-VN" w:bidi="vi-VN"/>
        </w:rPr>
        <w:t>5</w:t>
      </w:r>
      <w:r>
        <w:rPr>
          <w:rFonts w:eastAsia="Times New Roman"/>
          <w:i/>
          <w:iCs/>
          <w:lang w:val="vi-VN" w:eastAsia="vi-VN" w:bidi="vi-VN"/>
        </w:rPr>
        <w:t xml:space="preserve"> năm 2024 của Chính phủ, Báo cáo thẩm tra số </w:t>
      </w:r>
      <w:r>
        <w:rPr>
          <w:rFonts w:eastAsia="Times New Roman"/>
          <w:i/>
          <w:iCs/>
          <w:lang w:eastAsia="vi-VN" w:bidi="vi-VN"/>
        </w:rPr>
        <w:t>2792</w:t>
      </w:r>
      <w:r>
        <w:rPr>
          <w:rFonts w:eastAsia="Times New Roman"/>
          <w:i/>
          <w:iCs/>
          <w:lang w:val="vi-VN" w:eastAsia="vi-VN" w:bidi="vi-VN"/>
        </w:rPr>
        <w:t xml:space="preserve">/BC-UBKT15 ngày </w:t>
      </w:r>
      <w:r>
        <w:rPr>
          <w:rFonts w:eastAsia="Times New Roman"/>
          <w:i/>
          <w:iCs/>
          <w:lang w:eastAsia="vi-VN" w:bidi="vi-VN"/>
        </w:rPr>
        <w:t>15</w:t>
      </w:r>
      <w:r>
        <w:rPr>
          <w:rFonts w:eastAsia="Times New Roman"/>
          <w:i/>
          <w:iCs/>
          <w:lang w:val="vi-VN" w:eastAsia="vi-VN" w:bidi="vi-VN"/>
        </w:rPr>
        <w:t xml:space="preserve"> tháng </w:t>
      </w:r>
      <w:r>
        <w:rPr>
          <w:rFonts w:eastAsia="Times New Roman"/>
          <w:i/>
          <w:iCs/>
          <w:lang w:eastAsia="vi-VN" w:bidi="vi-VN"/>
        </w:rPr>
        <w:t>5</w:t>
      </w:r>
      <w:r>
        <w:rPr>
          <w:rFonts w:eastAsia="Times New Roman"/>
          <w:i/>
          <w:iCs/>
          <w:lang w:val="vi-VN" w:eastAsia="vi-VN" w:bidi="vi-VN"/>
        </w:rPr>
        <w:t xml:space="preserve"> năm 2024 của Ủy ban Kinh tế của Quốc hội</w:t>
      </w:r>
      <w:r>
        <w:rPr>
          <w:rFonts w:eastAsia="Times New Roman"/>
          <w:i/>
          <w:iCs/>
          <w:lang w:eastAsia="vi-VN" w:bidi="vi-VN"/>
        </w:rPr>
        <w:t xml:space="preserve">, Báo cáo số 898/BC-UBTVQH15 ngày 27 tháng 6 năm 2024 của Ủy ban Thường vụ Quốc hội tiếp thu, chỉnh lý và giải trình </w:t>
      </w:r>
      <w:r>
        <w:rPr>
          <w:rFonts w:eastAsia="Times New Roman"/>
          <w:i/>
          <w:iCs/>
          <w:lang w:val="vi-VN" w:eastAsia="vi-VN" w:bidi="vi-VN"/>
        </w:rPr>
        <w:t xml:space="preserve">về chủ trương </w:t>
      </w:r>
      <w:r>
        <w:rPr>
          <w:rFonts w:eastAsia="Times New Roman"/>
          <w:i/>
          <w:iCs/>
          <w:lang w:val="en-GB" w:eastAsia="vi-VN" w:bidi="vi-VN"/>
        </w:rPr>
        <w:t>đ</w:t>
      </w:r>
      <w:r>
        <w:rPr>
          <w:rFonts w:eastAsia="Times New Roman"/>
          <w:i/>
          <w:iCs/>
          <w:lang w:val="vi-VN" w:eastAsia="vi-VN" w:bidi="vi-VN"/>
        </w:rPr>
        <w:t xml:space="preserve">ầu tư </w:t>
      </w:r>
      <w:r>
        <w:rPr>
          <w:rFonts w:eastAsia="Times New Roman"/>
          <w:i/>
          <w:iCs/>
          <w:lang w:val="en-GB" w:eastAsia="vi-VN" w:bidi="vi-VN"/>
        </w:rPr>
        <w:t xml:space="preserve">Dự án đầu tư </w:t>
      </w:r>
      <w:r>
        <w:rPr>
          <w:rFonts w:eastAsia="Times New Roman"/>
          <w:i/>
          <w:lang w:val="nl-NL" w:eastAsia="fr-FR"/>
        </w:rPr>
        <w:t xml:space="preserve">xây dựng </w:t>
      </w:r>
      <w:r>
        <w:rPr>
          <w:rFonts w:hint="eastAsia" w:eastAsia="Times New Roman"/>
          <w:i/>
          <w:lang w:val="nl-NL" w:eastAsia="fr-FR"/>
        </w:rPr>
        <w:t>đư</w:t>
      </w:r>
      <w:r>
        <w:rPr>
          <w:rFonts w:eastAsia="Times New Roman"/>
          <w:i/>
          <w:lang w:val="nl-NL" w:eastAsia="fr-FR"/>
        </w:rPr>
        <w:t xml:space="preserve">ờng cao tốc Bắc - Nam phía Tây </w:t>
      </w:r>
      <w:r>
        <w:rPr>
          <w:rFonts w:hint="eastAsia" w:eastAsia="Times New Roman"/>
          <w:i/>
          <w:lang w:val="nl-NL" w:eastAsia="fr-FR"/>
        </w:rPr>
        <w:t>đ</w:t>
      </w:r>
      <w:r>
        <w:rPr>
          <w:rFonts w:eastAsia="Times New Roman"/>
          <w:i/>
          <w:lang w:val="nl-NL" w:eastAsia="fr-FR"/>
        </w:rPr>
        <w:t>oạn Gia Nghĩa (</w:t>
      </w:r>
      <w:r>
        <w:rPr>
          <w:rFonts w:hint="eastAsia" w:eastAsia="Times New Roman"/>
          <w:i/>
          <w:lang w:val="nl-NL" w:eastAsia="fr-FR"/>
        </w:rPr>
        <w:t>Đ</w:t>
      </w:r>
      <w:r>
        <w:rPr>
          <w:rFonts w:eastAsia="Times New Roman"/>
          <w:i/>
          <w:lang w:val="nl-NL" w:eastAsia="fr-FR"/>
        </w:rPr>
        <w:t>ắk Nông) - Ch</w:t>
      </w:r>
      <w:r>
        <w:rPr>
          <w:rFonts w:hint="eastAsia" w:eastAsia="Times New Roman"/>
          <w:i/>
          <w:lang w:val="nl-NL" w:eastAsia="fr-FR"/>
        </w:rPr>
        <w:t>ơ</w:t>
      </w:r>
      <w:r>
        <w:rPr>
          <w:rFonts w:eastAsia="Times New Roman"/>
          <w:i/>
          <w:lang w:val="nl-NL" w:eastAsia="fr-FR"/>
        </w:rPr>
        <w:t>n Thành (Bình Ph</w:t>
      </w:r>
      <w:r>
        <w:rPr>
          <w:rFonts w:hint="eastAsia" w:eastAsia="Times New Roman"/>
          <w:i/>
          <w:lang w:val="nl-NL" w:eastAsia="fr-FR"/>
        </w:rPr>
        <w:t>ư</w:t>
      </w:r>
      <w:r>
        <w:rPr>
          <w:rFonts w:eastAsia="Times New Roman"/>
          <w:i/>
          <w:lang w:val="nl-NL" w:eastAsia="fr-FR"/>
        </w:rPr>
        <w:t>ớc)</w:t>
      </w:r>
      <w:r>
        <w:rPr>
          <w:rFonts w:eastAsia="Times New Roman"/>
          <w:i/>
          <w:iCs/>
          <w:lang w:val="vi-VN" w:eastAsia="vi-VN" w:bidi="vi-VN"/>
        </w:rPr>
        <w:t>, các tài liệu liên quan và ý kiến của đại biểu Quốc hội;</w:t>
      </w:r>
    </w:p>
    <w:p w14:paraId="541A04C5">
      <w:pPr>
        <w:widowControl w:val="0"/>
        <w:tabs>
          <w:tab w:val="left" w:pos="0"/>
        </w:tabs>
        <w:spacing w:before="0" w:after="240"/>
        <w:jc w:val="center"/>
        <w:rPr>
          <w:rFonts w:eastAsia="Times New Roman"/>
          <w:b/>
          <w:sz w:val="26"/>
          <w:szCs w:val="26"/>
          <w:lang w:val="en-GB" w:eastAsia="fr-FR"/>
        </w:rPr>
      </w:pPr>
      <w:r>
        <w:rPr>
          <w:rFonts w:eastAsia="Times New Roman"/>
          <w:b/>
          <w:sz w:val="26"/>
          <w:szCs w:val="26"/>
          <w:lang w:val="vi-VN" w:eastAsia="fr-FR"/>
        </w:rPr>
        <w:t>QUYẾT NGHỊ</w:t>
      </w:r>
      <w:r>
        <w:rPr>
          <w:rFonts w:eastAsia="Times New Roman"/>
          <w:b/>
          <w:sz w:val="26"/>
          <w:szCs w:val="26"/>
          <w:lang w:val="en-GB" w:eastAsia="fr-FR"/>
        </w:rPr>
        <w:t>:</w:t>
      </w:r>
    </w:p>
    <w:p w14:paraId="0535EE3C">
      <w:pPr>
        <w:widowControl w:val="0"/>
        <w:tabs>
          <w:tab w:val="left" w:pos="0"/>
        </w:tabs>
        <w:spacing w:before="0"/>
        <w:ind w:firstLine="567"/>
        <w:rPr>
          <w:rFonts w:eastAsia="Times New Roman"/>
          <w:b/>
          <w:lang w:val="vi-VN" w:eastAsia="fr-FR"/>
        </w:rPr>
      </w:pPr>
      <w:r>
        <w:rPr>
          <w:rFonts w:eastAsia="Times New Roman"/>
          <w:b/>
          <w:lang w:val="vi-VN" w:eastAsia="fr-FR"/>
        </w:rPr>
        <w:t>Điều 1</w:t>
      </w:r>
    </w:p>
    <w:p w14:paraId="01013729">
      <w:pPr>
        <w:widowControl w:val="0"/>
        <w:tabs>
          <w:tab w:val="left" w:pos="0"/>
        </w:tabs>
        <w:spacing w:before="0"/>
        <w:ind w:firstLine="567"/>
        <w:jc w:val="both"/>
        <w:rPr>
          <w:rFonts w:eastAsia="Times New Roman"/>
          <w:lang w:eastAsia="fr-FR"/>
        </w:rPr>
      </w:pPr>
      <w:r>
        <w:rPr>
          <w:rFonts w:hint="eastAsia" w:eastAsia="Times New Roman"/>
          <w:lang w:val="nl-NL" w:eastAsia="fr-FR"/>
        </w:rPr>
        <w:t>Quyết</w:t>
      </w:r>
      <w:r>
        <w:rPr>
          <w:rFonts w:eastAsia="Times New Roman"/>
          <w:lang w:val="vi-VN" w:eastAsia="fr-FR"/>
        </w:rPr>
        <w:t xml:space="preserve"> định chủ trương đầu tư Dự án đ</w:t>
      </w:r>
      <w:r>
        <w:rPr>
          <w:rFonts w:eastAsia="Times New Roman"/>
          <w:lang w:val="nl-NL" w:eastAsia="fr-FR"/>
        </w:rPr>
        <w:t>ầu t</w:t>
      </w:r>
      <w:r>
        <w:rPr>
          <w:rFonts w:hint="eastAsia" w:eastAsia="Times New Roman"/>
          <w:lang w:val="nl-NL" w:eastAsia="fr-FR"/>
        </w:rPr>
        <w:t>ư</w:t>
      </w:r>
      <w:r>
        <w:rPr>
          <w:rFonts w:eastAsia="Times New Roman"/>
          <w:lang w:val="nl-NL" w:eastAsia="fr-FR"/>
        </w:rPr>
        <w:t xml:space="preserve"> xây dựng </w:t>
      </w:r>
      <w:r>
        <w:rPr>
          <w:rFonts w:hint="eastAsia" w:eastAsia="Times New Roman"/>
          <w:lang w:val="nl-NL" w:eastAsia="fr-FR"/>
        </w:rPr>
        <w:t>đư</w:t>
      </w:r>
      <w:r>
        <w:rPr>
          <w:rFonts w:eastAsia="Times New Roman"/>
          <w:lang w:val="nl-NL" w:eastAsia="fr-FR"/>
        </w:rPr>
        <w:t xml:space="preserve">ờng cao tốc Bắc - Nam phía Tây </w:t>
      </w:r>
      <w:r>
        <w:rPr>
          <w:rFonts w:hint="eastAsia" w:eastAsia="Times New Roman"/>
          <w:lang w:val="nl-NL" w:eastAsia="fr-FR"/>
        </w:rPr>
        <w:t>đ</w:t>
      </w:r>
      <w:r>
        <w:rPr>
          <w:rFonts w:eastAsia="Times New Roman"/>
          <w:lang w:val="nl-NL" w:eastAsia="fr-FR"/>
        </w:rPr>
        <w:t>oạn Gia Nghĩa (</w:t>
      </w:r>
      <w:r>
        <w:rPr>
          <w:rFonts w:hint="eastAsia" w:eastAsia="Times New Roman"/>
          <w:lang w:val="nl-NL" w:eastAsia="fr-FR"/>
        </w:rPr>
        <w:t>Đ</w:t>
      </w:r>
      <w:r>
        <w:rPr>
          <w:rFonts w:eastAsia="Times New Roman"/>
          <w:lang w:val="nl-NL" w:eastAsia="fr-FR"/>
        </w:rPr>
        <w:t>ắk Nông) - Ch</w:t>
      </w:r>
      <w:r>
        <w:rPr>
          <w:rFonts w:hint="eastAsia" w:eastAsia="Times New Roman"/>
          <w:lang w:val="nl-NL" w:eastAsia="fr-FR"/>
        </w:rPr>
        <w:t>ơ</w:t>
      </w:r>
      <w:r>
        <w:rPr>
          <w:rFonts w:eastAsia="Times New Roman"/>
          <w:lang w:val="nl-NL" w:eastAsia="fr-FR"/>
        </w:rPr>
        <w:t>n Thành (Bình Ph</w:t>
      </w:r>
      <w:r>
        <w:rPr>
          <w:rFonts w:hint="eastAsia" w:eastAsia="Times New Roman"/>
          <w:lang w:val="nl-NL" w:eastAsia="fr-FR"/>
        </w:rPr>
        <w:t>ư</w:t>
      </w:r>
      <w:r>
        <w:rPr>
          <w:rFonts w:eastAsia="Times New Roman"/>
          <w:lang w:val="nl-NL" w:eastAsia="fr-FR"/>
        </w:rPr>
        <w:t xml:space="preserve">ớc) </w:t>
      </w:r>
      <w:r>
        <w:rPr>
          <w:rFonts w:eastAsia="Times New Roman"/>
          <w:lang w:val="vi-VN" w:eastAsia="fr-FR"/>
        </w:rPr>
        <w:t>(sau đây gọi là Dự án)</w:t>
      </w:r>
      <w:r>
        <w:rPr>
          <w:rFonts w:eastAsia="Times New Roman"/>
          <w:lang w:eastAsia="fr-FR"/>
        </w:rPr>
        <w:t>.</w:t>
      </w:r>
    </w:p>
    <w:p w14:paraId="26ADDEB0">
      <w:pPr>
        <w:widowControl w:val="0"/>
        <w:tabs>
          <w:tab w:val="left" w:pos="0"/>
        </w:tabs>
        <w:spacing w:before="0"/>
        <w:ind w:firstLine="567"/>
        <w:jc w:val="both"/>
        <w:rPr>
          <w:rFonts w:eastAsia="Times New Roman"/>
          <w:b/>
          <w:lang w:val="vi-VN" w:eastAsia="fr-FR"/>
        </w:rPr>
      </w:pPr>
      <w:r>
        <w:rPr>
          <w:rFonts w:eastAsia="Times New Roman"/>
          <w:b/>
          <w:lang w:val="vi-VN" w:eastAsia="fr-FR"/>
        </w:rPr>
        <w:t>Điều 2</w:t>
      </w:r>
    </w:p>
    <w:p w14:paraId="7744C1A7">
      <w:pPr>
        <w:widowControl w:val="0"/>
        <w:tabs>
          <w:tab w:val="left" w:pos="0"/>
        </w:tabs>
        <w:spacing w:before="0"/>
        <w:ind w:firstLine="567"/>
        <w:jc w:val="both"/>
        <w:rPr>
          <w:rFonts w:eastAsia="Times New Roman"/>
          <w:lang w:val="vi-VN" w:eastAsia="fr-FR"/>
        </w:rPr>
      </w:pPr>
      <w:r>
        <w:rPr>
          <w:rFonts w:eastAsia="Times New Roman"/>
          <w:lang w:val="vi-VN" w:eastAsia="fr-FR"/>
        </w:rPr>
        <w:t>1. Mục tiêu:</w:t>
      </w:r>
    </w:p>
    <w:p w14:paraId="23C62675">
      <w:pPr>
        <w:widowControl w:val="0"/>
        <w:tabs>
          <w:tab w:val="left" w:pos="0"/>
        </w:tabs>
        <w:spacing w:before="0"/>
        <w:ind w:firstLine="567"/>
        <w:jc w:val="both"/>
        <w:rPr>
          <w:rFonts w:eastAsia="Times New Roman"/>
          <w:lang w:val="nl-NL" w:eastAsia="fr-FR"/>
        </w:rPr>
      </w:pPr>
      <w:r>
        <w:rPr>
          <w:rFonts w:eastAsia="Times New Roman"/>
          <w:lang w:val="nl-NL" w:eastAsia="fr-FR"/>
        </w:rPr>
        <w:t xml:space="preserve">Xây dựng tuyến cao tốc trọng điểm kết nối vùng Tây Nguyên với vùng </w:t>
      </w:r>
      <w:r>
        <w:rPr>
          <w:rFonts w:hint="eastAsia" w:eastAsia="Times New Roman"/>
          <w:lang w:val="nl-NL" w:eastAsia="fr-FR"/>
        </w:rPr>
        <w:t>Đô</w:t>
      </w:r>
      <w:r>
        <w:rPr>
          <w:rFonts w:eastAsia="Times New Roman"/>
          <w:lang w:val="nl-NL" w:eastAsia="fr-FR"/>
        </w:rPr>
        <w:t xml:space="preserve">ng Nam Bộ, kết nối các tỉnh Bình Phước, Đắk Nông và các địa phương khác trong vùng với Thành phố Hồ Chí Minh, tạo không gian, động lực phát triển mới cho vùng Tây Nguyên và vùng Đông Nam Bộ; khai thác tiềm năng sử dụng đất, phát triển du lịch, công nghiệp chế biến, công nghiệp khai thác khoáng sản, từng bước cơ cấu lại kinh tế vùng Tây Nguyên; góp phần thực hiện thắng lợi các mục tiêu, nhiệm vụ phát triển kinh tế - xã hội, bảo đảm quốc phòng - an ninh vùng Tây Nguyên, vùng Đông Nam Bộ và quốc gia theo Nghị quyết </w:t>
      </w:r>
      <w:r>
        <w:rPr>
          <w:rFonts w:hint="eastAsia" w:eastAsia="Times New Roman"/>
          <w:lang w:val="nl-NL" w:eastAsia="fr-FR"/>
        </w:rPr>
        <w:t>Đ</w:t>
      </w:r>
      <w:r>
        <w:rPr>
          <w:rFonts w:eastAsia="Times New Roman"/>
          <w:lang w:val="nl-NL" w:eastAsia="fr-FR"/>
        </w:rPr>
        <w:t xml:space="preserve">ại hội </w:t>
      </w:r>
      <w:r>
        <w:rPr>
          <w:rFonts w:hint="eastAsia" w:eastAsia="Times New Roman"/>
          <w:lang w:val="nl-NL" w:eastAsia="fr-FR"/>
        </w:rPr>
        <w:t>đ</w:t>
      </w:r>
      <w:r>
        <w:rPr>
          <w:rFonts w:eastAsia="Times New Roman"/>
          <w:lang w:val="nl-NL" w:eastAsia="fr-FR"/>
        </w:rPr>
        <w:t xml:space="preserve">ại biểu toàn quốc lần thứ XIII của </w:t>
      </w:r>
      <w:r>
        <w:rPr>
          <w:rFonts w:hint="eastAsia" w:eastAsia="Times New Roman"/>
          <w:lang w:val="nl-NL" w:eastAsia="fr-FR"/>
        </w:rPr>
        <w:t>Đ</w:t>
      </w:r>
      <w:r>
        <w:rPr>
          <w:rFonts w:eastAsia="Times New Roman"/>
          <w:lang w:val="nl-NL" w:eastAsia="fr-FR"/>
        </w:rPr>
        <w:t>ảng, các Nghị quyết của Bộ Chính trị.</w:t>
      </w:r>
    </w:p>
    <w:p w14:paraId="03BE1F43">
      <w:pPr>
        <w:spacing w:before="0"/>
        <w:ind w:firstLine="567"/>
        <w:jc w:val="both"/>
        <w:rPr>
          <w:rFonts w:eastAsia="Times New Roman"/>
          <w:bCs/>
          <w:spacing w:val="-2"/>
          <w:kern w:val="2"/>
          <w:lang w:val="nl-NL"/>
        </w:rPr>
      </w:pPr>
      <w:r>
        <w:rPr>
          <w:rFonts w:eastAsia="Times New Roman"/>
          <w:bCs/>
          <w:spacing w:val="-2"/>
          <w:kern w:val="2"/>
          <w:lang w:val="vi-VN"/>
        </w:rPr>
        <w:t xml:space="preserve">2. Phạm vi, quy mô, hình thức </w:t>
      </w:r>
      <w:r>
        <w:rPr>
          <w:rFonts w:hint="eastAsia" w:eastAsia="Times New Roman"/>
          <w:bCs/>
          <w:spacing w:val="-2"/>
          <w:kern w:val="2"/>
          <w:lang w:val="vi-VN"/>
        </w:rPr>
        <w:t>đ</w:t>
      </w:r>
      <w:r>
        <w:rPr>
          <w:rFonts w:eastAsia="Times New Roman"/>
          <w:bCs/>
          <w:spacing w:val="-2"/>
          <w:kern w:val="2"/>
          <w:lang w:val="vi-VN"/>
        </w:rPr>
        <w:t>ầu tư</w:t>
      </w:r>
      <w:r>
        <w:rPr>
          <w:rFonts w:eastAsia="Times New Roman"/>
          <w:bCs/>
          <w:spacing w:val="-2"/>
          <w:kern w:val="2"/>
          <w:lang w:val="nl-NL"/>
        </w:rPr>
        <w:t>:</w:t>
      </w:r>
    </w:p>
    <w:p w14:paraId="2FC20F21">
      <w:pPr>
        <w:spacing w:before="0"/>
        <w:ind w:firstLine="567"/>
        <w:jc w:val="both"/>
        <w:rPr>
          <w:rFonts w:eastAsia="Times New Roman"/>
          <w:bCs/>
          <w:kern w:val="2"/>
        </w:rPr>
      </w:pPr>
      <w:r>
        <w:rPr>
          <w:rFonts w:eastAsia="Times New Roman"/>
          <w:bCs/>
          <w:spacing w:val="-6"/>
          <w:kern w:val="2"/>
          <w:lang w:val="vi-VN"/>
        </w:rPr>
        <w:t>Đầu tư khoảng 128,8 km, chia thành 05 dự án thành phần; quy mô, hình thức đầu tư của từng dự án thành phần được xác định tại Phụ lục kèm theo Nghị quyết này</w:t>
      </w:r>
      <w:r>
        <w:rPr>
          <w:rFonts w:eastAsia="Times New Roman"/>
          <w:bCs/>
          <w:kern w:val="2"/>
          <w:lang w:val="vi-VN"/>
        </w:rPr>
        <w:t>.</w:t>
      </w:r>
    </w:p>
    <w:p w14:paraId="136A150F">
      <w:pPr>
        <w:spacing w:before="0"/>
        <w:ind w:firstLine="567"/>
        <w:jc w:val="both"/>
        <w:rPr>
          <w:rFonts w:eastAsia="Times New Roman"/>
          <w:bCs/>
          <w:spacing w:val="-2"/>
          <w:kern w:val="2"/>
        </w:rPr>
      </w:pPr>
      <w:r>
        <w:rPr>
          <w:rFonts w:eastAsia="Times New Roman"/>
          <w:bCs/>
          <w:spacing w:val="-2"/>
          <w:kern w:val="2"/>
          <w:lang w:val="vi-VN"/>
        </w:rPr>
        <w:t>Dự án thành phần 1 được đầu tư theo phương thức đối tác công tư, loại hợp đồng Xây dựng - Kinh doanh - Chuyển giao (BOT), được áp dụng cơ chế bảo đảm đầu tư, cơ chế chia sẻ phần giảm doanh thu theo quy định của pháp luật về đầu tư theo phương thức đối tác công tư</w:t>
      </w:r>
      <w:r>
        <w:rPr>
          <w:rFonts w:eastAsia="Times New Roman"/>
          <w:bCs/>
          <w:spacing w:val="-2"/>
          <w:kern w:val="2"/>
        </w:rPr>
        <w:t>.</w:t>
      </w:r>
    </w:p>
    <w:p w14:paraId="42CB2AE6">
      <w:pPr>
        <w:spacing w:before="0"/>
        <w:ind w:firstLine="567"/>
        <w:jc w:val="both"/>
        <w:rPr>
          <w:rFonts w:eastAsia="Times New Roman"/>
          <w:bCs/>
          <w:spacing w:val="-2"/>
          <w:kern w:val="2"/>
          <w:lang w:val="vi-VN"/>
        </w:rPr>
      </w:pPr>
      <w:r>
        <w:rPr>
          <w:rFonts w:eastAsia="Times New Roman"/>
          <w:bCs/>
          <w:spacing w:val="-2"/>
          <w:kern w:val="2"/>
          <w:lang w:val="vi-VN"/>
        </w:rPr>
        <w:t>3. Công nghệ:</w:t>
      </w:r>
    </w:p>
    <w:p w14:paraId="07397F18">
      <w:pPr>
        <w:spacing w:before="0"/>
        <w:ind w:firstLine="567"/>
        <w:jc w:val="both"/>
        <w:rPr>
          <w:rFonts w:eastAsia="Times New Roman"/>
          <w:bCs/>
          <w:spacing w:val="-2"/>
          <w:kern w:val="2"/>
          <w:lang w:val="vi-VN"/>
        </w:rPr>
      </w:pPr>
      <w:r>
        <w:rPr>
          <w:rFonts w:eastAsia="Times New Roman"/>
          <w:bCs/>
          <w:spacing w:val="-2"/>
          <w:kern w:val="2"/>
          <w:lang w:val="vi-VN"/>
        </w:rPr>
        <w:t>Dự án áp dụng các công nghệ tiên tiến, hiện đại, bảo đảm yêu cầu an toàn, đồng bộ, chất lượng và hiệu quả. Khuyến khích ứng dụng công nghệ cao trong tổ chức thi công, thích ứng với biến đổi khí hậu. Thực hiện hình thức thu phí tự động không dừng trong khai thác, vận hành.</w:t>
      </w:r>
    </w:p>
    <w:p w14:paraId="43CD5E69">
      <w:pPr>
        <w:spacing w:before="0"/>
        <w:ind w:firstLine="567"/>
        <w:jc w:val="both"/>
        <w:rPr>
          <w:rFonts w:eastAsia="Times New Roman"/>
          <w:bCs/>
          <w:spacing w:val="-2"/>
          <w:kern w:val="2"/>
          <w:lang w:val="vi-VN"/>
        </w:rPr>
      </w:pPr>
      <w:r>
        <w:rPr>
          <w:rFonts w:eastAsia="Times New Roman"/>
          <w:bCs/>
          <w:spacing w:val="-2"/>
          <w:kern w:val="2"/>
          <w:lang w:val="vi-VN"/>
        </w:rPr>
        <w:t>4. Nhu cầu sử dụng đất:</w:t>
      </w:r>
    </w:p>
    <w:p w14:paraId="38ABBFCE">
      <w:pPr>
        <w:spacing w:before="0"/>
        <w:ind w:firstLine="567"/>
        <w:jc w:val="both"/>
        <w:rPr>
          <w:rFonts w:eastAsia="Times New Roman"/>
          <w:bCs/>
          <w:lang w:val="vi-VN" w:eastAsia="fr-FR"/>
        </w:rPr>
      </w:pPr>
      <w:r>
        <w:rPr>
          <w:rFonts w:eastAsia="Times New Roman"/>
          <w:bCs/>
          <w:lang w:val="sv-SE" w:eastAsia="fr-FR"/>
        </w:rPr>
        <w:t>S</w:t>
      </w:r>
      <w:r>
        <w:rPr>
          <w:rFonts w:hint="eastAsia" w:eastAsia="Times New Roman"/>
          <w:bCs/>
          <w:lang w:val="sv-SE" w:eastAsia="fr-FR"/>
        </w:rPr>
        <w:t>ơ</w:t>
      </w:r>
      <w:r>
        <w:rPr>
          <w:rFonts w:eastAsia="Times New Roman"/>
          <w:bCs/>
          <w:lang w:val="sv-SE" w:eastAsia="fr-FR"/>
        </w:rPr>
        <w:t xml:space="preserve"> bộ nhu</w:t>
      </w:r>
      <w:r>
        <w:rPr>
          <w:rFonts w:eastAsia="Times New Roman"/>
          <w:bCs/>
          <w:lang w:val="vi-VN" w:eastAsia="fr-FR"/>
        </w:rPr>
        <w:t xml:space="preserve"> cầu sử dụng đất của Dự án khoảng </w:t>
      </w:r>
      <w:r>
        <w:rPr>
          <w:rFonts w:eastAsia="Times New Roman"/>
          <w:bCs/>
          <w:lang w:val="sv-SE" w:eastAsia="fr-FR"/>
        </w:rPr>
        <w:t xml:space="preserve">1.111 ha, trong </w:t>
      </w:r>
      <w:r>
        <w:rPr>
          <w:rFonts w:hint="eastAsia" w:eastAsia="Times New Roman"/>
          <w:bCs/>
          <w:lang w:val="sv-SE" w:eastAsia="fr-FR"/>
        </w:rPr>
        <w:t>đó</w:t>
      </w:r>
      <w:r>
        <w:rPr>
          <w:rFonts w:eastAsia="Times New Roman"/>
          <w:bCs/>
          <w:lang w:val="sv-SE" w:eastAsia="fr-FR"/>
        </w:rPr>
        <w:t xml:space="preserve">: </w:t>
      </w:r>
      <w:r>
        <w:rPr>
          <w:rFonts w:hint="eastAsia" w:eastAsia="Times New Roman"/>
          <w:bCs/>
          <w:lang w:val="sv-SE" w:eastAsia="fr-FR"/>
        </w:rPr>
        <w:t>đ</w:t>
      </w:r>
      <w:r>
        <w:rPr>
          <w:rFonts w:eastAsia="Times New Roman"/>
          <w:bCs/>
          <w:lang w:val="sv-SE" w:eastAsia="fr-FR"/>
        </w:rPr>
        <w:t xml:space="preserve">ất trồng lúa khoảng 12 ha; </w:t>
      </w:r>
      <w:r>
        <w:rPr>
          <w:rFonts w:hint="eastAsia" w:eastAsia="Times New Roman"/>
          <w:bCs/>
          <w:lang w:val="sv-SE" w:eastAsia="fr-FR"/>
        </w:rPr>
        <w:t>đ</w:t>
      </w:r>
      <w:r>
        <w:rPr>
          <w:rFonts w:eastAsia="Times New Roman"/>
          <w:bCs/>
          <w:lang w:val="sv-SE" w:eastAsia="fr-FR"/>
        </w:rPr>
        <w:t xml:space="preserve">ất nông nghiệp khác khoảng 1.041 ha; </w:t>
      </w:r>
      <w:r>
        <w:rPr>
          <w:rFonts w:hint="eastAsia" w:eastAsia="Times New Roman"/>
          <w:bCs/>
          <w:lang w:val="sv-SE" w:eastAsia="fr-FR"/>
        </w:rPr>
        <w:t>đ</w:t>
      </w:r>
      <w:r>
        <w:rPr>
          <w:rFonts w:eastAsia="Times New Roman"/>
          <w:bCs/>
          <w:lang w:val="sv-SE" w:eastAsia="fr-FR"/>
        </w:rPr>
        <w:t xml:space="preserve">ất ở khoảng 12 ha; </w:t>
      </w:r>
      <w:r>
        <w:rPr>
          <w:rFonts w:hint="eastAsia" w:eastAsia="Times New Roman"/>
          <w:bCs/>
          <w:lang w:val="sv-SE" w:eastAsia="fr-FR"/>
        </w:rPr>
        <w:t>đ</w:t>
      </w:r>
      <w:r>
        <w:rPr>
          <w:rFonts w:eastAsia="Times New Roman"/>
          <w:bCs/>
          <w:lang w:val="sv-SE" w:eastAsia="fr-FR"/>
        </w:rPr>
        <w:t>ất rừng sản xuất khoảng 46 ha</w:t>
      </w:r>
      <w:r>
        <w:rPr>
          <w:rFonts w:eastAsia="Times New Roman"/>
          <w:bCs/>
          <w:lang w:val="vi-VN" w:eastAsia="fr-FR"/>
        </w:rPr>
        <w:t>. Giải phóng mặt bằng toàn tuyến một lần theo quy mô quy hoạch.</w:t>
      </w:r>
    </w:p>
    <w:p w14:paraId="2FEA1DA0">
      <w:pPr>
        <w:spacing w:before="0"/>
        <w:ind w:firstLine="567"/>
        <w:jc w:val="both"/>
        <w:rPr>
          <w:rFonts w:eastAsia="Times New Roman"/>
          <w:bCs/>
          <w:spacing w:val="-2"/>
          <w:kern w:val="2"/>
          <w:lang w:val="vi-VN"/>
        </w:rPr>
      </w:pPr>
      <w:r>
        <w:rPr>
          <w:rFonts w:eastAsia="Times New Roman"/>
          <w:bCs/>
          <w:spacing w:val="-2"/>
          <w:kern w:val="2"/>
          <w:lang w:val="vi-VN"/>
        </w:rPr>
        <w:t xml:space="preserve">5. Sơ bộ tổng mức đầu tư và nguồn vốn: </w:t>
      </w:r>
    </w:p>
    <w:p w14:paraId="437F4A28">
      <w:pPr>
        <w:spacing w:before="0"/>
        <w:ind w:firstLine="567"/>
        <w:jc w:val="both"/>
        <w:rPr>
          <w:rFonts w:eastAsia="Times New Roman"/>
          <w:bCs/>
          <w:spacing w:val="-2"/>
          <w:kern w:val="2"/>
          <w:lang w:val="vi-VN"/>
        </w:rPr>
      </w:pPr>
      <w:r>
        <w:rPr>
          <w:rFonts w:eastAsia="Times New Roman"/>
          <w:bCs/>
          <w:spacing w:val="-2"/>
          <w:kern w:val="2"/>
          <w:lang w:val="vi-VN"/>
        </w:rPr>
        <w:t xml:space="preserve">Sơ bộ tổng mức đầu tư của Dự án là 25.540 tỷ đồng </w:t>
      </w:r>
      <w:r>
        <w:rPr>
          <w:rFonts w:eastAsia="Times New Roman"/>
          <w:bCs/>
          <w:i/>
          <w:spacing w:val="-2"/>
          <w:kern w:val="2"/>
          <w:lang w:val="vi-VN"/>
        </w:rPr>
        <w:t xml:space="preserve">(hai mươi lăm nghìn năm trăm bốn mươi tỷ đồng), </w:t>
      </w:r>
      <w:r>
        <w:rPr>
          <w:rFonts w:eastAsia="Times New Roman"/>
          <w:bCs/>
          <w:spacing w:val="-2"/>
          <w:kern w:val="2"/>
        </w:rPr>
        <w:t>bao gồm</w:t>
      </w:r>
      <w:r>
        <w:rPr>
          <w:rFonts w:eastAsia="Times New Roman"/>
          <w:bCs/>
          <w:spacing w:val="-2"/>
          <w:kern w:val="2"/>
          <w:lang w:val="vi-VN"/>
        </w:rPr>
        <w:t>:</w:t>
      </w:r>
    </w:p>
    <w:p w14:paraId="054CC1DE">
      <w:pPr>
        <w:spacing w:before="0"/>
        <w:ind w:firstLine="567"/>
        <w:jc w:val="both"/>
        <w:rPr>
          <w:rFonts w:eastAsia="Times New Roman"/>
          <w:bCs/>
          <w:spacing w:val="-2"/>
          <w:kern w:val="2"/>
        </w:rPr>
      </w:pPr>
      <w:r>
        <w:rPr>
          <w:rFonts w:eastAsia="Times New Roman"/>
          <w:bCs/>
          <w:spacing w:val="-2"/>
          <w:kern w:val="2"/>
          <w:lang w:val="vi-VN"/>
        </w:rPr>
        <w:t xml:space="preserve">a) Vốn ngân sách trung ương là 10.536,5 tỷ đồng </w:t>
      </w:r>
      <w:r>
        <w:rPr>
          <w:rFonts w:eastAsia="Times New Roman"/>
          <w:bCs/>
          <w:i/>
          <w:spacing w:val="-2"/>
          <w:kern w:val="2"/>
          <w:lang w:val="vi-VN"/>
        </w:rPr>
        <w:t xml:space="preserve">(mười nghìn năm trăm ba mươi sáu </w:t>
      </w:r>
      <w:r>
        <w:rPr>
          <w:rFonts w:eastAsia="Times New Roman"/>
          <w:bCs/>
          <w:i/>
          <w:spacing w:val="-2"/>
          <w:kern w:val="2"/>
        </w:rPr>
        <w:t>tỷ</w:t>
      </w:r>
      <w:r>
        <w:rPr>
          <w:rFonts w:eastAsia="Times New Roman"/>
          <w:bCs/>
          <w:i/>
          <w:spacing w:val="-2"/>
          <w:kern w:val="2"/>
          <w:lang w:val="vi-VN"/>
        </w:rPr>
        <w:t xml:space="preserve"> năm </w:t>
      </w:r>
      <w:r>
        <w:rPr>
          <w:rFonts w:eastAsia="Times New Roman"/>
          <w:bCs/>
          <w:i/>
          <w:spacing w:val="-2"/>
          <w:kern w:val="2"/>
        </w:rPr>
        <w:t>trăm triệu</w:t>
      </w:r>
      <w:r>
        <w:rPr>
          <w:rFonts w:eastAsia="Times New Roman"/>
          <w:bCs/>
          <w:i/>
          <w:spacing w:val="-2"/>
          <w:kern w:val="2"/>
          <w:lang w:val="vi-VN"/>
        </w:rPr>
        <w:t xml:space="preserve"> đồng), </w:t>
      </w:r>
      <w:r>
        <w:rPr>
          <w:rFonts w:eastAsia="Times New Roman"/>
          <w:bCs/>
          <w:spacing w:val="-2"/>
          <w:kern w:val="2"/>
          <w:lang w:val="vi-VN"/>
        </w:rPr>
        <w:t xml:space="preserve">trong đó: nguồn </w:t>
      </w:r>
      <w:r>
        <w:rPr>
          <w:rFonts w:eastAsia="Times New Roman"/>
          <w:lang w:val="da-DK"/>
        </w:rPr>
        <w:t>tăng thu, tiết kiệm chi thường xuyên của ngân sách trung ương năm 2022</w:t>
      </w:r>
      <w:r>
        <w:rPr>
          <w:rFonts w:eastAsia="Times New Roman"/>
          <w:bCs/>
          <w:spacing w:val="-2"/>
          <w:kern w:val="2"/>
          <w:lang w:val="vi-VN"/>
        </w:rPr>
        <w:t xml:space="preserve"> là 8.770 tỷ đồng </w:t>
      </w:r>
      <w:r>
        <w:rPr>
          <w:rFonts w:eastAsia="Times New Roman"/>
          <w:bCs/>
          <w:i/>
          <w:spacing w:val="-2"/>
          <w:kern w:val="2"/>
          <w:lang w:val="vi-VN"/>
        </w:rPr>
        <w:t>(tám nghìn bảy trăm bảy mươi tỷ đồng),</w:t>
      </w:r>
      <w:r>
        <w:rPr>
          <w:rFonts w:eastAsia="Times New Roman"/>
          <w:bCs/>
          <w:spacing w:val="-2"/>
          <w:kern w:val="2"/>
          <w:lang w:val="vi-VN"/>
        </w:rPr>
        <w:t xml:space="preserve"> nguồn vốn ngân sách trung </w:t>
      </w:r>
      <w:r>
        <w:rPr>
          <w:rFonts w:hint="eastAsia" w:eastAsia="Times New Roman"/>
          <w:bCs/>
          <w:spacing w:val="-2"/>
          <w:kern w:val="2"/>
          <w:lang w:val="vi-VN"/>
        </w:rPr>
        <w:t>ươ</w:t>
      </w:r>
      <w:r>
        <w:rPr>
          <w:rFonts w:eastAsia="Times New Roman"/>
          <w:bCs/>
          <w:spacing w:val="-2"/>
          <w:kern w:val="2"/>
          <w:lang w:val="vi-VN"/>
        </w:rPr>
        <w:t xml:space="preserve">ng trong Kế hoạch </w:t>
      </w:r>
      <w:r>
        <w:rPr>
          <w:rFonts w:hint="eastAsia" w:eastAsia="Times New Roman"/>
          <w:bCs/>
          <w:spacing w:val="-2"/>
          <w:kern w:val="2"/>
          <w:lang w:val="vi-VN"/>
        </w:rPr>
        <w:t>đ</w:t>
      </w:r>
      <w:r>
        <w:rPr>
          <w:rFonts w:eastAsia="Times New Roman"/>
          <w:bCs/>
          <w:spacing w:val="-2"/>
          <w:kern w:val="2"/>
          <w:lang w:val="vi-VN"/>
        </w:rPr>
        <w:t>ầu t</w:t>
      </w:r>
      <w:r>
        <w:rPr>
          <w:rFonts w:hint="eastAsia" w:eastAsia="Times New Roman"/>
          <w:bCs/>
          <w:spacing w:val="-2"/>
          <w:kern w:val="2"/>
          <w:lang w:val="vi-VN"/>
        </w:rPr>
        <w:t>ư</w:t>
      </w:r>
      <w:r>
        <w:rPr>
          <w:rFonts w:eastAsia="Times New Roman"/>
          <w:bCs/>
          <w:spacing w:val="-2"/>
          <w:kern w:val="2"/>
          <w:lang w:val="vi-VN"/>
        </w:rPr>
        <w:t xml:space="preserve"> công trung hạn giai </w:t>
      </w:r>
      <w:r>
        <w:rPr>
          <w:rFonts w:hint="eastAsia" w:eastAsia="Times New Roman"/>
          <w:bCs/>
          <w:spacing w:val="-2"/>
          <w:kern w:val="2"/>
          <w:lang w:val="vi-VN"/>
        </w:rPr>
        <w:t>đ</w:t>
      </w:r>
      <w:r>
        <w:rPr>
          <w:rFonts w:eastAsia="Times New Roman"/>
          <w:bCs/>
          <w:spacing w:val="-2"/>
          <w:kern w:val="2"/>
          <w:lang w:val="vi-VN"/>
        </w:rPr>
        <w:t xml:space="preserve">oạn 2021 - 2025 là 1.766,5 tỷ đồng </w:t>
      </w:r>
      <w:r>
        <w:rPr>
          <w:rFonts w:eastAsia="Times New Roman"/>
          <w:bCs/>
          <w:i/>
          <w:spacing w:val="-2"/>
          <w:kern w:val="2"/>
          <w:lang w:val="vi-VN"/>
        </w:rPr>
        <w:t xml:space="preserve">(một nghìn bảy trăm sáu mươi sáu </w:t>
      </w:r>
      <w:r>
        <w:rPr>
          <w:rFonts w:eastAsia="Times New Roman"/>
          <w:bCs/>
          <w:i/>
          <w:spacing w:val="-2"/>
          <w:kern w:val="2"/>
        </w:rPr>
        <w:t>tỷ</w:t>
      </w:r>
      <w:r>
        <w:rPr>
          <w:rFonts w:eastAsia="Times New Roman"/>
          <w:bCs/>
          <w:i/>
          <w:spacing w:val="-2"/>
          <w:kern w:val="2"/>
          <w:lang w:val="vi-VN"/>
        </w:rPr>
        <w:t xml:space="preserve"> năm </w:t>
      </w:r>
      <w:r>
        <w:rPr>
          <w:rFonts w:eastAsia="Times New Roman"/>
          <w:bCs/>
          <w:i/>
          <w:spacing w:val="-2"/>
          <w:kern w:val="2"/>
        </w:rPr>
        <w:t>trăm triệu</w:t>
      </w:r>
      <w:r>
        <w:rPr>
          <w:rFonts w:eastAsia="Times New Roman"/>
          <w:bCs/>
          <w:i/>
          <w:spacing w:val="-2"/>
          <w:kern w:val="2"/>
          <w:lang w:val="vi-VN"/>
        </w:rPr>
        <w:t xml:space="preserve"> đồng)</w:t>
      </w:r>
      <w:r>
        <w:rPr>
          <w:rFonts w:eastAsia="Times New Roman"/>
          <w:bCs/>
          <w:i/>
          <w:spacing w:val="-2"/>
          <w:kern w:val="2"/>
        </w:rPr>
        <w:t>;</w:t>
      </w:r>
    </w:p>
    <w:p w14:paraId="6CB61340">
      <w:pPr>
        <w:spacing w:before="0"/>
        <w:ind w:firstLine="567"/>
        <w:jc w:val="both"/>
        <w:rPr>
          <w:rFonts w:eastAsia="Times New Roman"/>
          <w:bCs/>
          <w:spacing w:val="-2"/>
          <w:kern w:val="2"/>
          <w:lang w:val="vi-VN"/>
        </w:rPr>
      </w:pPr>
      <w:r>
        <w:rPr>
          <w:rFonts w:eastAsia="Times New Roman"/>
          <w:bCs/>
          <w:kern w:val="2"/>
          <w:lang w:val="vi-VN"/>
        </w:rPr>
        <w:t xml:space="preserve">b) Vốn ngân sách địa phương là 2.233,5 tỷ đồng </w:t>
      </w:r>
      <w:r>
        <w:rPr>
          <w:rFonts w:eastAsia="Times New Roman"/>
          <w:bCs/>
          <w:i/>
          <w:iCs/>
          <w:kern w:val="2"/>
          <w:lang w:val="vi-VN"/>
        </w:rPr>
        <w:t xml:space="preserve">(hai nghìn hai trăm ba mươi ba </w:t>
      </w:r>
      <w:r>
        <w:rPr>
          <w:rFonts w:eastAsia="Times New Roman"/>
          <w:bCs/>
          <w:i/>
          <w:iCs/>
          <w:kern w:val="2"/>
        </w:rPr>
        <w:t>tỷ</w:t>
      </w:r>
      <w:r>
        <w:rPr>
          <w:rFonts w:eastAsia="Times New Roman"/>
          <w:bCs/>
          <w:i/>
          <w:iCs/>
          <w:kern w:val="2"/>
          <w:lang w:val="vi-VN"/>
        </w:rPr>
        <w:t xml:space="preserve"> năm </w:t>
      </w:r>
      <w:r>
        <w:rPr>
          <w:rFonts w:eastAsia="Times New Roman"/>
          <w:bCs/>
          <w:i/>
          <w:iCs/>
          <w:kern w:val="2"/>
        </w:rPr>
        <w:t>trăm triệu</w:t>
      </w:r>
      <w:r>
        <w:rPr>
          <w:rFonts w:eastAsia="Times New Roman"/>
          <w:bCs/>
          <w:i/>
          <w:iCs/>
          <w:kern w:val="2"/>
          <w:lang w:val="vi-VN"/>
        </w:rPr>
        <w:t xml:space="preserve"> đồng)</w:t>
      </w:r>
      <w:r>
        <w:rPr>
          <w:rFonts w:eastAsia="Times New Roman"/>
          <w:bCs/>
          <w:kern w:val="2"/>
          <w:lang w:val="vi-VN"/>
        </w:rPr>
        <w:t xml:space="preserve">, trong đó: tỉnh Bình Phước là 1.233,5 tỷ đồng </w:t>
      </w:r>
      <w:r>
        <w:rPr>
          <w:rFonts w:eastAsia="Times New Roman"/>
          <w:bCs/>
          <w:i/>
          <w:kern w:val="2"/>
          <w:lang w:val="vi-VN"/>
        </w:rPr>
        <w:t xml:space="preserve">(một nghìn hai trăm ba mươi ba </w:t>
      </w:r>
      <w:r>
        <w:rPr>
          <w:rFonts w:eastAsia="Times New Roman"/>
          <w:bCs/>
          <w:i/>
          <w:kern w:val="2"/>
        </w:rPr>
        <w:t>tỷ</w:t>
      </w:r>
      <w:r>
        <w:rPr>
          <w:rFonts w:eastAsia="Times New Roman"/>
          <w:bCs/>
          <w:i/>
          <w:kern w:val="2"/>
          <w:lang w:val="vi-VN"/>
        </w:rPr>
        <w:t xml:space="preserve"> năm </w:t>
      </w:r>
      <w:r>
        <w:rPr>
          <w:rFonts w:eastAsia="Times New Roman"/>
          <w:bCs/>
          <w:i/>
          <w:kern w:val="2"/>
        </w:rPr>
        <w:t>trăm triệu</w:t>
      </w:r>
      <w:r>
        <w:rPr>
          <w:rFonts w:eastAsia="Times New Roman"/>
          <w:bCs/>
          <w:i/>
          <w:kern w:val="2"/>
          <w:lang w:val="vi-VN"/>
        </w:rPr>
        <w:t xml:space="preserve"> đồng)</w:t>
      </w:r>
      <w:r>
        <w:rPr>
          <w:rFonts w:eastAsia="Times New Roman"/>
          <w:bCs/>
          <w:kern w:val="2"/>
          <w:lang w:val="vi-VN"/>
        </w:rPr>
        <w:t xml:space="preserve">, tỉnh Đắk Nông là 1.000 tỷ đồng </w:t>
      </w:r>
      <w:r>
        <w:rPr>
          <w:rFonts w:eastAsia="Times New Roman"/>
          <w:bCs/>
          <w:i/>
          <w:kern w:val="2"/>
          <w:lang w:val="vi-VN"/>
        </w:rPr>
        <w:t>(một nghìn tỷ đồng)</w:t>
      </w:r>
      <w:r>
        <w:rPr>
          <w:rFonts w:eastAsia="Times New Roman"/>
          <w:bCs/>
          <w:i/>
          <w:kern w:val="2"/>
        </w:rPr>
        <w:t>;</w:t>
      </w:r>
    </w:p>
    <w:p w14:paraId="200D6188">
      <w:pPr>
        <w:spacing w:before="0"/>
        <w:ind w:firstLine="567"/>
        <w:jc w:val="both"/>
        <w:rPr>
          <w:rFonts w:eastAsia="Times New Roman"/>
          <w:bCs/>
          <w:spacing w:val="-2"/>
          <w:kern w:val="2"/>
          <w:lang w:val="vi-VN"/>
        </w:rPr>
      </w:pPr>
      <w:r>
        <w:rPr>
          <w:rFonts w:eastAsia="Times New Roman"/>
          <w:bCs/>
          <w:spacing w:val="-2"/>
          <w:kern w:val="2"/>
        </w:rPr>
        <w:t>c)</w:t>
      </w:r>
      <w:r>
        <w:rPr>
          <w:rFonts w:eastAsia="Times New Roman"/>
          <w:bCs/>
          <w:spacing w:val="-2"/>
          <w:kern w:val="2"/>
          <w:lang w:val="vi-VN"/>
        </w:rPr>
        <w:t xml:space="preserve"> Vốn do nhà đầu tư thu xếp là 12.770 tỷ đồng </w:t>
      </w:r>
      <w:r>
        <w:rPr>
          <w:rFonts w:eastAsia="Times New Roman"/>
          <w:bCs/>
          <w:i/>
          <w:spacing w:val="-2"/>
          <w:kern w:val="2"/>
          <w:lang w:val="vi-VN"/>
        </w:rPr>
        <w:t>(mười hai nghìn bảy trăm bảy mươi tỷ đồng)</w:t>
      </w:r>
      <w:r>
        <w:rPr>
          <w:rFonts w:eastAsia="Times New Roman"/>
          <w:bCs/>
          <w:i/>
          <w:spacing w:val="-2"/>
          <w:kern w:val="2"/>
        </w:rPr>
        <w:t>.</w:t>
      </w:r>
    </w:p>
    <w:p w14:paraId="3C636BCF">
      <w:pPr>
        <w:spacing w:before="0"/>
        <w:ind w:firstLine="567"/>
        <w:jc w:val="both"/>
        <w:rPr>
          <w:rFonts w:eastAsia="Times New Roman"/>
          <w:bCs/>
          <w:spacing w:val="-2"/>
          <w:kern w:val="2"/>
          <w:lang w:val="vi-VN"/>
        </w:rPr>
      </w:pPr>
      <w:r>
        <w:rPr>
          <w:rFonts w:eastAsia="Times New Roman"/>
          <w:bCs/>
          <w:spacing w:val="-2"/>
          <w:kern w:val="2"/>
          <w:lang w:val="vi-VN"/>
        </w:rPr>
        <w:t>6. Tiến độ thực hiện:</w:t>
      </w:r>
    </w:p>
    <w:p w14:paraId="4D2BB007">
      <w:pPr>
        <w:spacing w:before="0"/>
        <w:ind w:firstLine="567"/>
        <w:jc w:val="both"/>
        <w:rPr>
          <w:rFonts w:eastAsia="Times New Roman"/>
          <w:bCs/>
          <w:spacing w:val="-2"/>
          <w:kern w:val="2"/>
          <w:lang w:val="vi-VN"/>
        </w:rPr>
      </w:pPr>
      <w:r>
        <w:rPr>
          <w:rFonts w:eastAsia="Times New Roman"/>
          <w:bCs/>
          <w:spacing w:val="-2"/>
          <w:kern w:val="2"/>
        </w:rPr>
        <w:t>T</w:t>
      </w:r>
      <w:r>
        <w:rPr>
          <w:rFonts w:eastAsia="Times New Roman"/>
          <w:bCs/>
          <w:spacing w:val="-2"/>
          <w:kern w:val="2"/>
          <w:lang w:val="vi-VN"/>
        </w:rPr>
        <w:t>hực hiện Dự án từ năm 2024, cơ bản hoàn thành năm 2026</w:t>
      </w:r>
      <w:r>
        <w:rPr>
          <w:rFonts w:eastAsia="Times New Roman"/>
          <w:bCs/>
          <w:spacing w:val="-2"/>
          <w:kern w:val="2"/>
        </w:rPr>
        <w:t>, đưa vào khai thác, vận hành năm 2027</w:t>
      </w:r>
      <w:r>
        <w:rPr>
          <w:rFonts w:eastAsia="Times New Roman"/>
          <w:bCs/>
          <w:spacing w:val="-2"/>
          <w:kern w:val="2"/>
          <w:lang w:val="vi-VN"/>
        </w:rPr>
        <w:t>.</w:t>
      </w:r>
    </w:p>
    <w:p w14:paraId="200CCF7E">
      <w:pPr>
        <w:spacing w:before="0"/>
        <w:ind w:firstLine="567"/>
        <w:jc w:val="both"/>
        <w:rPr>
          <w:rFonts w:eastAsia="Times New Roman"/>
          <w:bCs/>
          <w:spacing w:val="-2"/>
          <w:kern w:val="2"/>
          <w:lang w:val="vi-VN"/>
        </w:rPr>
      </w:pPr>
      <w:r>
        <w:rPr>
          <w:rFonts w:eastAsia="Times New Roman"/>
          <w:bCs/>
          <w:spacing w:val="-2"/>
          <w:kern w:val="2"/>
          <w:lang w:val="vi-VN"/>
        </w:rPr>
        <w:t xml:space="preserve">7. </w:t>
      </w:r>
      <w:r>
        <w:rPr>
          <w:rFonts w:eastAsia="Times New Roman"/>
          <w:bCs/>
          <w:spacing w:val="-2"/>
          <w:kern w:val="2"/>
        </w:rPr>
        <w:t>Sơ bộ phương án tài chính của d</w:t>
      </w:r>
      <w:r>
        <w:rPr>
          <w:rFonts w:eastAsia="Times New Roman"/>
          <w:bCs/>
          <w:spacing w:val="-2"/>
          <w:kern w:val="2"/>
          <w:lang w:val="vi-VN"/>
        </w:rPr>
        <w:t xml:space="preserve">ự án thành phần 1: </w:t>
      </w:r>
    </w:p>
    <w:p w14:paraId="35FF2BE1">
      <w:pPr>
        <w:spacing w:before="0"/>
        <w:ind w:firstLine="567"/>
        <w:jc w:val="both"/>
        <w:rPr>
          <w:rFonts w:eastAsia="Times New Roman"/>
          <w:bCs/>
          <w:spacing w:val="-2"/>
          <w:kern w:val="2"/>
          <w:lang w:val="vi-VN"/>
        </w:rPr>
      </w:pPr>
      <w:bookmarkStart w:id="0" w:name="_Hlk170470881"/>
      <w:r>
        <w:rPr>
          <w:rFonts w:eastAsia="Times New Roman"/>
          <w:bCs/>
          <w:spacing w:val="-2"/>
          <w:kern w:val="2"/>
        </w:rPr>
        <w:t>V</w:t>
      </w:r>
      <w:r>
        <w:rPr>
          <w:rFonts w:eastAsia="Times New Roman"/>
          <w:bCs/>
          <w:spacing w:val="-2"/>
          <w:kern w:val="2"/>
          <w:lang w:val="vi-VN"/>
        </w:rPr>
        <w:t xml:space="preserve">ốn hỗ trợ từ ngân sách nhà nước khoảng 6.842 tỷ đồng </w:t>
      </w:r>
      <w:r>
        <w:rPr>
          <w:rFonts w:eastAsia="Times New Roman"/>
          <w:bCs/>
          <w:i/>
          <w:spacing w:val="-2"/>
          <w:kern w:val="2"/>
          <w:lang w:val="vi-VN"/>
        </w:rPr>
        <w:t xml:space="preserve">(sáu nghìn tám trăm bốn mươi hai tỷ đồng), </w:t>
      </w:r>
      <w:r>
        <w:rPr>
          <w:rFonts w:eastAsia="Times New Roman"/>
          <w:bCs/>
          <w:spacing w:val="-2"/>
          <w:kern w:val="2"/>
          <w:lang w:val="vi-VN"/>
        </w:rPr>
        <w:t xml:space="preserve">chiếm 34,88% sơ bộ tổng mức đầu tư dự án thành phần 1; sơ bộ khung giá, phí sử dụng dịch vụ đường bộ theo phương án tài chính của </w:t>
      </w:r>
      <w:r>
        <w:rPr>
          <w:rFonts w:eastAsia="Times New Roman"/>
          <w:bCs/>
          <w:spacing w:val="-2"/>
          <w:kern w:val="2"/>
        </w:rPr>
        <w:t>d</w:t>
      </w:r>
      <w:r>
        <w:rPr>
          <w:rFonts w:eastAsia="Times New Roman"/>
          <w:bCs/>
          <w:spacing w:val="-2"/>
          <w:kern w:val="2"/>
          <w:lang w:val="vi-VN"/>
        </w:rPr>
        <w:t>ự án</w:t>
      </w:r>
      <w:r>
        <w:rPr>
          <w:rFonts w:eastAsia="Times New Roman"/>
          <w:bCs/>
          <w:spacing w:val="-2"/>
          <w:kern w:val="2"/>
        </w:rPr>
        <w:t xml:space="preserve"> thành phần 1</w:t>
      </w:r>
      <w:r>
        <w:rPr>
          <w:rFonts w:eastAsia="Times New Roman"/>
          <w:bCs/>
          <w:spacing w:val="-2"/>
          <w:kern w:val="2"/>
          <w:lang w:val="vi-VN"/>
        </w:rPr>
        <w:t xml:space="preserve">; phương án tài chính sẽ được tính toán quyết định cụ thể theo quy định của pháp luật và kết quả đấu thầu khi thực hiện </w:t>
      </w:r>
      <w:r>
        <w:rPr>
          <w:rFonts w:eastAsia="Times New Roman"/>
          <w:bCs/>
          <w:spacing w:val="-2"/>
          <w:kern w:val="2"/>
        </w:rPr>
        <w:t>d</w:t>
      </w:r>
      <w:r>
        <w:rPr>
          <w:rFonts w:eastAsia="Times New Roman"/>
          <w:bCs/>
          <w:spacing w:val="-2"/>
          <w:kern w:val="2"/>
          <w:lang w:val="vi-VN"/>
        </w:rPr>
        <w:t>ự án</w:t>
      </w:r>
      <w:r>
        <w:rPr>
          <w:rFonts w:eastAsia="Times New Roman"/>
          <w:bCs/>
          <w:spacing w:val="-2"/>
          <w:kern w:val="2"/>
        </w:rPr>
        <w:t xml:space="preserve"> thành phần 1</w:t>
      </w:r>
      <w:r>
        <w:rPr>
          <w:rFonts w:eastAsia="Times New Roman"/>
          <w:bCs/>
          <w:spacing w:val="-2"/>
          <w:kern w:val="2"/>
          <w:lang w:val="vi-VN"/>
        </w:rPr>
        <w:t>.</w:t>
      </w:r>
    </w:p>
    <w:bookmarkEnd w:id="0"/>
    <w:p w14:paraId="194328DD">
      <w:pPr>
        <w:spacing w:before="0"/>
        <w:ind w:firstLine="567"/>
        <w:jc w:val="both"/>
        <w:rPr>
          <w:rFonts w:eastAsia="Times New Roman"/>
          <w:b/>
          <w:bCs/>
          <w:spacing w:val="-2"/>
          <w:kern w:val="2"/>
          <w:lang w:val="vi-VN"/>
        </w:rPr>
      </w:pPr>
      <w:r>
        <w:rPr>
          <w:rFonts w:eastAsia="Times New Roman"/>
          <w:b/>
          <w:bCs/>
          <w:spacing w:val="-2"/>
          <w:kern w:val="2"/>
          <w:lang w:val="vi-VN"/>
        </w:rPr>
        <w:t>Điều 3</w:t>
      </w:r>
    </w:p>
    <w:p w14:paraId="40835CC2">
      <w:pPr>
        <w:spacing w:before="0"/>
        <w:ind w:firstLine="567"/>
        <w:jc w:val="both"/>
        <w:rPr>
          <w:rFonts w:eastAsia="Times New Roman"/>
          <w:bCs/>
          <w:spacing w:val="-2"/>
          <w:kern w:val="2"/>
          <w:lang w:val="vi-VN"/>
        </w:rPr>
      </w:pPr>
      <w:r>
        <w:rPr>
          <w:rFonts w:eastAsia="Times New Roman"/>
          <w:bCs/>
          <w:spacing w:val="-2"/>
          <w:kern w:val="2"/>
          <w:lang w:val="vi-VN"/>
        </w:rPr>
        <w:t>1. Việc triển khai, thực hiện Dự án được áp dụng cơ chế, chính sách đặc biệt sau đây:</w:t>
      </w:r>
    </w:p>
    <w:p w14:paraId="78B8899A">
      <w:pPr>
        <w:tabs>
          <w:tab w:val="left" w:pos="0"/>
        </w:tabs>
        <w:spacing w:before="0"/>
        <w:ind w:firstLine="567"/>
        <w:jc w:val="both"/>
        <w:rPr>
          <w:rFonts w:eastAsia="Times New Roman"/>
          <w:spacing w:val="-4"/>
        </w:rPr>
      </w:pPr>
      <w:r>
        <w:rPr>
          <w:rFonts w:eastAsia="Times New Roman"/>
          <w:spacing w:val="-4"/>
          <w:lang w:val="vi-VN"/>
        </w:rPr>
        <w:t xml:space="preserve">a) </w:t>
      </w:r>
      <w:bookmarkStart w:id="1" w:name="_Hlk148900412"/>
      <w:r>
        <w:rPr>
          <w:rFonts w:eastAsia="Times New Roman"/>
          <w:spacing w:val="-4"/>
        </w:rPr>
        <w:t>C</w:t>
      </w:r>
      <w:r>
        <w:rPr>
          <w:rFonts w:eastAsia="Times New Roman"/>
          <w:spacing w:val="-4"/>
          <w:lang w:val="vi-VN"/>
        </w:rPr>
        <w:t>ho phép kéo dài thời gian giải ngân số vốn bố trí từ nguồn t</w:t>
      </w:r>
      <w:r>
        <w:rPr>
          <w:rFonts w:hint="eastAsia" w:eastAsia="Times New Roman"/>
          <w:spacing w:val="-4"/>
          <w:lang w:val="vi-VN"/>
        </w:rPr>
        <w:t>ă</w:t>
      </w:r>
      <w:r>
        <w:rPr>
          <w:rFonts w:eastAsia="Times New Roman"/>
          <w:spacing w:val="-4"/>
          <w:lang w:val="vi-VN"/>
        </w:rPr>
        <w:t>ng thu, tiết kiệm chi th</w:t>
      </w:r>
      <w:r>
        <w:rPr>
          <w:rFonts w:hint="eastAsia" w:eastAsia="Times New Roman"/>
          <w:spacing w:val="-4"/>
          <w:lang w:val="vi-VN"/>
        </w:rPr>
        <w:t>ư</w:t>
      </w:r>
      <w:r>
        <w:rPr>
          <w:rFonts w:eastAsia="Times New Roman"/>
          <w:spacing w:val="-4"/>
          <w:lang w:val="vi-VN"/>
        </w:rPr>
        <w:t xml:space="preserve">ờng xuyên của ngân sách trung </w:t>
      </w:r>
      <w:r>
        <w:rPr>
          <w:rFonts w:hint="eastAsia" w:eastAsia="Times New Roman"/>
          <w:spacing w:val="-4"/>
          <w:lang w:val="vi-VN"/>
        </w:rPr>
        <w:t>ươ</w:t>
      </w:r>
      <w:r>
        <w:rPr>
          <w:rFonts w:eastAsia="Times New Roman"/>
          <w:spacing w:val="-4"/>
          <w:lang w:val="vi-VN"/>
        </w:rPr>
        <w:t>ng n</w:t>
      </w:r>
      <w:r>
        <w:rPr>
          <w:rFonts w:hint="eastAsia" w:eastAsia="Times New Roman"/>
          <w:spacing w:val="-4"/>
          <w:lang w:val="vi-VN"/>
        </w:rPr>
        <w:t>ă</w:t>
      </w:r>
      <w:r>
        <w:rPr>
          <w:rFonts w:eastAsia="Times New Roman"/>
          <w:spacing w:val="-4"/>
          <w:lang w:val="vi-VN"/>
        </w:rPr>
        <w:t>m 2022 để thực hiện Dự án đến hết năm 2026</w:t>
      </w:r>
      <w:r>
        <w:rPr>
          <w:rFonts w:eastAsia="Times New Roman"/>
          <w:spacing w:val="-4"/>
        </w:rPr>
        <w:t>;</w:t>
      </w:r>
    </w:p>
    <w:bookmarkEnd w:id="1"/>
    <w:p w14:paraId="5A83DC85">
      <w:pPr>
        <w:tabs>
          <w:tab w:val="left" w:pos="0"/>
        </w:tabs>
        <w:spacing w:before="0"/>
        <w:ind w:firstLine="567"/>
        <w:jc w:val="both"/>
        <w:rPr>
          <w:rFonts w:eastAsia="Times New Roman"/>
          <w:spacing w:val="-4"/>
        </w:rPr>
      </w:pPr>
      <w:r>
        <w:rPr>
          <w:rFonts w:eastAsia="Times New Roman"/>
          <w:spacing w:val="-4"/>
          <w:lang w:val="vi-VN"/>
        </w:rPr>
        <w:t>b) Về tổ chức thực hiện</w:t>
      </w:r>
      <w:r>
        <w:rPr>
          <w:rFonts w:eastAsia="Times New Roman"/>
          <w:spacing w:val="-4"/>
        </w:rPr>
        <w:t>:</w:t>
      </w:r>
    </w:p>
    <w:p w14:paraId="0FAFB2A9">
      <w:pPr>
        <w:tabs>
          <w:tab w:val="left" w:pos="0"/>
        </w:tabs>
        <w:spacing w:before="0"/>
        <w:ind w:firstLine="567"/>
        <w:jc w:val="both"/>
        <w:rPr>
          <w:rFonts w:eastAsia="Times New Roman"/>
          <w:spacing w:val="-4"/>
          <w:lang w:val="vi-VN"/>
        </w:rPr>
      </w:pPr>
      <w:r>
        <w:rPr>
          <w:rFonts w:eastAsia="Times New Roman"/>
          <w:spacing w:val="-4"/>
          <w:lang w:val="vi-VN"/>
        </w:rPr>
        <w:t>- Giao Ủy ban nhân dân tỉnh Bình Ph</w:t>
      </w:r>
      <w:r>
        <w:rPr>
          <w:rFonts w:hint="eastAsia" w:eastAsia="Times New Roman"/>
          <w:spacing w:val="-4"/>
          <w:lang w:val="vi-VN"/>
        </w:rPr>
        <w:t>ư</w:t>
      </w:r>
      <w:r>
        <w:rPr>
          <w:rFonts w:eastAsia="Times New Roman"/>
          <w:spacing w:val="-4"/>
          <w:lang w:val="vi-VN"/>
        </w:rPr>
        <w:t>ớc chịu trách nhiệm là c</w:t>
      </w:r>
      <w:r>
        <w:rPr>
          <w:rFonts w:hint="eastAsia" w:eastAsia="Times New Roman"/>
          <w:spacing w:val="-4"/>
          <w:lang w:val="vi-VN"/>
        </w:rPr>
        <w:t>ơ</w:t>
      </w:r>
      <w:r>
        <w:rPr>
          <w:rFonts w:eastAsia="Times New Roman"/>
          <w:spacing w:val="-4"/>
          <w:lang w:val="vi-VN"/>
        </w:rPr>
        <w:t xml:space="preserve"> quan </w:t>
      </w:r>
      <w:r>
        <w:rPr>
          <w:rFonts w:hint="eastAsia" w:eastAsia="Times New Roman"/>
          <w:spacing w:val="-4"/>
          <w:lang w:val="vi-VN"/>
        </w:rPr>
        <w:t>đ</w:t>
      </w:r>
      <w:r>
        <w:rPr>
          <w:rFonts w:eastAsia="Times New Roman"/>
          <w:spacing w:val="-4"/>
          <w:lang w:val="vi-VN"/>
        </w:rPr>
        <w:t xml:space="preserve">ầu mối tổ chức thực hiện Dự án bảo </w:t>
      </w:r>
      <w:r>
        <w:rPr>
          <w:rFonts w:hint="eastAsia" w:eastAsia="Times New Roman"/>
          <w:spacing w:val="-4"/>
          <w:lang w:val="vi-VN"/>
        </w:rPr>
        <w:t>đ</w:t>
      </w:r>
      <w:r>
        <w:rPr>
          <w:rFonts w:eastAsia="Times New Roman"/>
          <w:spacing w:val="-4"/>
          <w:lang w:val="vi-VN"/>
        </w:rPr>
        <w:t xml:space="preserve">ảm tính tổng thể, </w:t>
      </w:r>
      <w:r>
        <w:rPr>
          <w:rFonts w:hint="eastAsia" w:eastAsia="Times New Roman"/>
          <w:spacing w:val="-4"/>
          <w:lang w:val="vi-VN"/>
        </w:rPr>
        <w:t>đ</w:t>
      </w:r>
      <w:r>
        <w:rPr>
          <w:rFonts w:eastAsia="Times New Roman"/>
          <w:spacing w:val="-4"/>
          <w:lang w:val="vi-VN"/>
        </w:rPr>
        <w:t>ồng bộ toàn Dự án;</w:t>
      </w:r>
    </w:p>
    <w:p w14:paraId="6265B6CA">
      <w:pPr>
        <w:tabs>
          <w:tab w:val="left" w:pos="0"/>
        </w:tabs>
        <w:spacing w:before="0"/>
        <w:ind w:firstLine="567"/>
        <w:jc w:val="both"/>
        <w:rPr>
          <w:rFonts w:eastAsia="Times New Roman"/>
          <w:spacing w:val="-4"/>
          <w:lang w:val="vi-VN"/>
        </w:rPr>
      </w:pPr>
      <w:r>
        <w:rPr>
          <w:rFonts w:eastAsia="Times New Roman"/>
          <w:spacing w:val="-4"/>
          <w:lang w:val="vi-VN"/>
        </w:rPr>
        <w:t>- Trường hợp điều chỉnh chủ trương đầu tư Dự án trong thời gian Quốc hội không họp, Quốc hội ủy quyền Ủy ban Thường vụ Quốc hội xem xét, quyết định;</w:t>
      </w:r>
    </w:p>
    <w:p w14:paraId="73224277">
      <w:pPr>
        <w:tabs>
          <w:tab w:val="left" w:pos="0"/>
        </w:tabs>
        <w:spacing w:before="0"/>
        <w:ind w:firstLine="567"/>
        <w:jc w:val="both"/>
        <w:rPr>
          <w:rFonts w:eastAsia="Times New Roman"/>
          <w:spacing w:val="-4"/>
          <w:lang w:val="vi-VN"/>
        </w:rPr>
      </w:pPr>
      <w:r>
        <w:rPr>
          <w:rFonts w:eastAsia="Times New Roman"/>
          <w:spacing w:val="-4"/>
          <w:lang w:val="vi-VN"/>
        </w:rPr>
        <w:t>- Trình tự, thủ tục, thẩm quyền thẩm định và quyết định đầu tư các dự án thành phần 2, 3, 4 được thực hiện tương tự như đối với dự án nhóm B theo quy định của pháp luật về đầu tư công;</w:t>
      </w:r>
    </w:p>
    <w:p w14:paraId="045CBC54">
      <w:pPr>
        <w:tabs>
          <w:tab w:val="left" w:pos="0"/>
        </w:tabs>
        <w:spacing w:before="0"/>
        <w:ind w:firstLine="567"/>
        <w:jc w:val="both"/>
        <w:rPr>
          <w:rFonts w:eastAsia="Times New Roman"/>
          <w:spacing w:val="-4"/>
          <w:lang w:val="vi-VN"/>
        </w:rPr>
      </w:pPr>
      <w:r>
        <w:rPr>
          <w:rFonts w:eastAsia="Times New Roman"/>
          <w:spacing w:val="-4"/>
          <w:lang w:val="vi-VN"/>
        </w:rPr>
        <w:t xml:space="preserve">- Trình tự, thủ tục, thẩm quyền thẩm định và quyết định đầu tư dự án thành phần 5 được thực hiện tương tự như đối với dự án nhóm A theo quy định của pháp luật về đầu tư công; giao cơ quan chuyên môn về xây dựng thuộc Ủy ban nhân dân tỉnh Bình Phước tổ chức thẩm định dự án theo quy định; </w:t>
      </w:r>
    </w:p>
    <w:p w14:paraId="74B1A7F9">
      <w:pPr>
        <w:tabs>
          <w:tab w:val="left" w:pos="0"/>
        </w:tabs>
        <w:spacing w:before="0"/>
        <w:ind w:firstLine="567"/>
        <w:jc w:val="both"/>
        <w:rPr>
          <w:rFonts w:eastAsia="Times New Roman"/>
          <w:spacing w:val="-4"/>
          <w:lang w:val="vi-VN"/>
        </w:rPr>
      </w:pPr>
      <w:r>
        <w:rPr>
          <w:rFonts w:eastAsia="Times New Roman"/>
          <w:spacing w:val="-4"/>
          <w:lang w:val="vi-VN"/>
        </w:rPr>
        <w:t>- Dự án thành phần 1 được áp dụng hình thức đấu thầu rộng rãi trong nước để lựa chọn nhà đầu tư</w:t>
      </w:r>
      <w:r>
        <w:rPr>
          <w:rFonts w:eastAsia="Times New Roman"/>
          <w:spacing w:val="-4"/>
        </w:rPr>
        <w:t>;</w:t>
      </w:r>
    </w:p>
    <w:p w14:paraId="5E85E3E8">
      <w:pPr>
        <w:tabs>
          <w:tab w:val="left" w:pos="0"/>
        </w:tabs>
        <w:spacing w:before="0"/>
        <w:ind w:firstLine="567"/>
        <w:jc w:val="both"/>
        <w:rPr>
          <w:rFonts w:eastAsia="Times New Roman"/>
          <w:spacing w:val="-4"/>
          <w:lang w:val="vi-VN"/>
        </w:rPr>
      </w:pPr>
      <w:r>
        <w:rPr>
          <w:rFonts w:eastAsia="Times New Roman"/>
          <w:spacing w:val="-4"/>
          <w:lang w:val="vi-VN"/>
        </w:rPr>
        <w:t xml:space="preserve">c) Cho phép người đứng đầu cơ quan có thẩm quyền xem xét, quyết định việc chỉ định thầu trong quá trình triển khai thực hiện Dự án đối với các gói thầu tư vấn, các gói thầu thực hiện </w:t>
      </w:r>
      <w:r>
        <w:rPr>
          <w:rFonts w:eastAsia="Times New Roman"/>
          <w:spacing w:val="-4"/>
        </w:rPr>
        <w:t>bồi thường, hỗ trợ,</w:t>
      </w:r>
      <w:r>
        <w:rPr>
          <w:rFonts w:eastAsia="Times New Roman"/>
          <w:spacing w:val="-4"/>
          <w:lang w:val="vi-VN"/>
        </w:rPr>
        <w:t xml:space="preserve"> tái định cư. Trình tự, thủ tục thực hiện chỉ định thầu thực hiện theo quy định của pháp luật về đấu thầu</w:t>
      </w:r>
      <w:r>
        <w:rPr>
          <w:rFonts w:eastAsia="Times New Roman"/>
          <w:spacing w:val="-4"/>
          <w:lang w:val="en-GB"/>
        </w:rPr>
        <w:t xml:space="preserve"> và theo hướng dẫn của Chính phủ</w:t>
      </w:r>
      <w:r>
        <w:rPr>
          <w:rFonts w:eastAsia="Times New Roman"/>
          <w:spacing w:val="-4"/>
        </w:rPr>
        <w:t>;</w:t>
      </w:r>
    </w:p>
    <w:p w14:paraId="400719E8">
      <w:pPr>
        <w:tabs>
          <w:tab w:val="left" w:pos="0"/>
        </w:tabs>
        <w:spacing w:before="0"/>
        <w:ind w:firstLine="567"/>
        <w:jc w:val="both"/>
        <w:rPr>
          <w:rFonts w:eastAsia="Times New Roman"/>
          <w:spacing w:val="-4"/>
          <w:lang w:val="vi-VN"/>
        </w:rPr>
      </w:pPr>
      <w:r>
        <w:rPr>
          <w:rFonts w:eastAsia="Times New Roman"/>
          <w:spacing w:val="-4"/>
          <w:lang w:val="vi-VN"/>
        </w:rPr>
        <w:t xml:space="preserve">d) Cho phép trong giai </w:t>
      </w:r>
      <w:r>
        <w:rPr>
          <w:rFonts w:hint="eastAsia" w:eastAsia="Times New Roman"/>
          <w:spacing w:val="-4"/>
          <w:lang w:val="vi-VN"/>
        </w:rPr>
        <w:t>đ</w:t>
      </w:r>
      <w:r>
        <w:rPr>
          <w:rFonts w:eastAsia="Times New Roman"/>
          <w:spacing w:val="-4"/>
          <w:lang w:val="vi-VN"/>
        </w:rPr>
        <w:t xml:space="preserve">oạn triển khai </w:t>
      </w:r>
      <w:r>
        <w:rPr>
          <w:rFonts w:eastAsia="Times New Roman"/>
          <w:spacing w:val="-4"/>
          <w:lang w:val="en-GB"/>
        </w:rPr>
        <w:t xml:space="preserve">thực hiện </w:t>
      </w:r>
      <w:r>
        <w:rPr>
          <w:rFonts w:eastAsia="Times New Roman"/>
          <w:spacing w:val="-4"/>
          <w:lang w:val="vi-VN"/>
        </w:rPr>
        <w:t>Dự án:</w:t>
      </w:r>
    </w:p>
    <w:p w14:paraId="306BC030">
      <w:pPr>
        <w:tabs>
          <w:tab w:val="left" w:pos="0"/>
        </w:tabs>
        <w:spacing w:before="0"/>
        <w:ind w:firstLine="567"/>
        <w:jc w:val="both"/>
        <w:rPr>
          <w:rFonts w:eastAsia="Times New Roman"/>
          <w:spacing w:val="-4"/>
          <w:lang w:val="vi-VN"/>
        </w:rPr>
      </w:pPr>
      <w:r>
        <w:rPr>
          <w:rFonts w:eastAsia="Times New Roman"/>
          <w:spacing w:val="-4"/>
          <w:lang w:val="vi-VN"/>
        </w:rPr>
        <w:t xml:space="preserve">(i) Nhà thầu thi công không phải thực hiện thủ tục cấp Giấy phép khai thác khoáng sản làm vật liệu xây dựng thông thường nằm trong Hồ sơ khảo sát vật liệu xây dựng. Việc khai thác khoáng sản quy định tại khoản này được thực hiện đến khi hoàn thành </w:t>
      </w:r>
      <w:r>
        <w:rPr>
          <w:rFonts w:eastAsia="Times New Roman"/>
          <w:spacing w:val="-4"/>
        </w:rPr>
        <w:t>D</w:t>
      </w:r>
      <w:r>
        <w:rPr>
          <w:rFonts w:eastAsia="Times New Roman"/>
          <w:spacing w:val="-4"/>
          <w:lang w:val="vi-VN"/>
        </w:rPr>
        <w:t>ự án. Trường hợp không phải lập dự án đầu tư khai thác khoáng sản thì không phải thực hiện thủ tục lập báo cáo đánh giá tác động môi trường</w:t>
      </w:r>
      <w:r>
        <w:rPr>
          <w:rFonts w:eastAsia="Times New Roman"/>
          <w:spacing w:val="-4"/>
        </w:rPr>
        <w:t>;</w:t>
      </w:r>
    </w:p>
    <w:p w14:paraId="30B8BE8A">
      <w:pPr>
        <w:tabs>
          <w:tab w:val="left" w:pos="0"/>
        </w:tabs>
        <w:spacing w:before="0"/>
        <w:ind w:firstLine="567"/>
        <w:jc w:val="both"/>
        <w:rPr>
          <w:rFonts w:eastAsia="Times New Roman"/>
          <w:spacing w:val="-4"/>
          <w:lang w:val="vi-VN"/>
        </w:rPr>
      </w:pPr>
      <w:r>
        <w:rPr>
          <w:rFonts w:eastAsia="Times New Roman"/>
          <w:spacing w:val="-4"/>
          <w:lang w:val="vi-VN"/>
        </w:rPr>
        <w:t>(ii) Nhà thầu thi công có trách nhiệm sau đây:</w:t>
      </w:r>
    </w:p>
    <w:p w14:paraId="3A728A73">
      <w:pPr>
        <w:tabs>
          <w:tab w:val="left" w:pos="0"/>
        </w:tabs>
        <w:spacing w:before="0"/>
        <w:ind w:firstLine="567"/>
        <w:jc w:val="both"/>
        <w:rPr>
          <w:rFonts w:eastAsia="Times New Roman"/>
          <w:spacing w:val="-4"/>
          <w:lang w:val="vi-VN"/>
        </w:rPr>
      </w:pPr>
      <w:r>
        <w:rPr>
          <w:rFonts w:eastAsia="Times New Roman"/>
          <w:spacing w:val="-4"/>
          <w:lang w:val="vi-VN"/>
        </w:rPr>
        <w:t>- Cam kết bảo vệ môi trường gồm các nội dung sau: liệt kê các hạng mục công trình và hoạt động có khả năng tác động xấu đến môi trường; nhận dạng đối tượng bị tác động, yếu tố nhạy cảm về môi trường nơi khai thác; nhận dạng, đánh giá, dự báo tác động môi trường chính, chất thải phát sinh; quy mô, tính chất của chất thải; tác động đến đa dạng sinh học, di sản thiên nhiên, di tích lịch sử - văn hóa và yếu tố nhạy cảm khác; công trình, biện pháp giảm thiểu tác động môi trường tương ứng kèm theo quy chuẩn kỹ thuật áp dụng cho từng nguồn thải; nhận dạng, đánh giá sự cố môi trường có thể xảy ra và phương án phòng ngừa, ứng phó sự cố; giải pháp, danh mục, khối lượng, kế hoạch thực hiện, dự toán kinh phí để tiến hành cải tạo, phục hồi môi trường;</w:t>
      </w:r>
    </w:p>
    <w:p w14:paraId="57364135">
      <w:pPr>
        <w:tabs>
          <w:tab w:val="left" w:pos="0"/>
        </w:tabs>
        <w:spacing w:before="0"/>
        <w:ind w:firstLine="567"/>
        <w:jc w:val="both"/>
        <w:rPr>
          <w:rFonts w:eastAsia="Times New Roman"/>
          <w:spacing w:val="-4"/>
          <w:lang w:val="vi-VN"/>
        </w:rPr>
      </w:pPr>
      <w:r>
        <w:rPr>
          <w:rFonts w:eastAsia="Times New Roman"/>
          <w:spacing w:val="-4"/>
          <w:lang w:val="vi-VN"/>
        </w:rPr>
        <w:t>- Bố trí kinh phí và thực hiện cải tạo, phục hồi môi trường sau khi kết thúc khai thác theo quy định của pháp luật;</w:t>
      </w:r>
    </w:p>
    <w:p w14:paraId="57706984">
      <w:pPr>
        <w:tabs>
          <w:tab w:val="left" w:pos="0"/>
        </w:tabs>
        <w:spacing w:before="0"/>
        <w:ind w:firstLine="567"/>
        <w:jc w:val="both"/>
        <w:rPr>
          <w:rFonts w:eastAsia="Times New Roman"/>
          <w:spacing w:val="-4"/>
          <w:lang w:val="vi-VN"/>
        </w:rPr>
      </w:pPr>
      <w:r>
        <w:rPr>
          <w:rFonts w:eastAsia="Times New Roman"/>
          <w:spacing w:val="-4"/>
          <w:lang w:val="vi-VN"/>
        </w:rPr>
        <w:t>- Chịu sự quản lý, giám sát đối với việc khai thác, sử dụng khoáng sản theo quy định của pháp luật;</w:t>
      </w:r>
    </w:p>
    <w:p w14:paraId="0E8CCFF0">
      <w:pPr>
        <w:tabs>
          <w:tab w:val="left" w:pos="0"/>
        </w:tabs>
        <w:spacing w:before="0"/>
        <w:ind w:firstLine="567"/>
        <w:jc w:val="both"/>
        <w:rPr>
          <w:rFonts w:eastAsia="Times New Roman"/>
          <w:spacing w:val="-4"/>
          <w:lang w:val="vi-VN"/>
        </w:rPr>
      </w:pPr>
      <w:r>
        <w:rPr>
          <w:rFonts w:eastAsia="Times New Roman"/>
          <w:spacing w:val="-4"/>
          <w:lang w:val="vi-VN"/>
        </w:rPr>
        <w:t>- Nộp thuế, phí và nghĩa vụ tài chính khác theo quy định của pháp luật</w:t>
      </w:r>
      <w:r>
        <w:rPr>
          <w:rFonts w:eastAsia="Times New Roman"/>
          <w:spacing w:val="-4"/>
        </w:rPr>
        <w:t>;</w:t>
      </w:r>
    </w:p>
    <w:p w14:paraId="30D3ABBE">
      <w:pPr>
        <w:tabs>
          <w:tab w:val="left" w:pos="0"/>
        </w:tabs>
        <w:spacing w:before="0"/>
        <w:ind w:firstLine="567"/>
        <w:jc w:val="both"/>
        <w:rPr>
          <w:rFonts w:eastAsia="Times New Roman"/>
          <w:spacing w:val="-4"/>
        </w:rPr>
      </w:pPr>
      <w:r>
        <w:rPr>
          <w:rFonts w:eastAsia="Times New Roman"/>
          <w:spacing w:val="-4"/>
          <w:lang w:val="vi-VN"/>
        </w:rPr>
        <w:t>(iii) Ủy ban nhân dân cấp tỉnh căn cứ điều kiện thực tế để xem xét, hướng dẫn nhà thầu thi công tự lập đánh giá tác động tới lòng, bờ, bãi sông đối với mỏ cát, sỏi lòng sông nằm ở đoạn sông, suối có nguy cơ sạt lở cao bảo đảm tuân thủ quy định về quản lý cát, sỏi lòng sông và bảo vệ lòng, bờ, bãi sông. Nhà thầu thi công chịu trách nhiệm đối với kết quả đánh giá</w:t>
      </w:r>
      <w:r>
        <w:rPr>
          <w:rFonts w:eastAsia="Times New Roman"/>
          <w:spacing w:val="-4"/>
        </w:rPr>
        <w:t>.</w:t>
      </w:r>
    </w:p>
    <w:p w14:paraId="7ABE89F7">
      <w:pPr>
        <w:tabs>
          <w:tab w:val="left" w:pos="0"/>
        </w:tabs>
        <w:spacing w:before="0"/>
        <w:ind w:firstLine="567"/>
        <w:jc w:val="both"/>
        <w:rPr>
          <w:rFonts w:eastAsia="Times New Roman"/>
          <w:spacing w:val="-4"/>
          <w:lang w:val="vi-VN"/>
        </w:rPr>
      </w:pPr>
      <w:r>
        <w:rPr>
          <w:rFonts w:eastAsia="Times New Roman"/>
          <w:spacing w:val="-4"/>
          <w:lang w:val="vi-VN"/>
        </w:rPr>
        <w:t>2. Chính phủ chịu trách nhiệm trước Quốc hội trong việc:</w:t>
      </w:r>
    </w:p>
    <w:p w14:paraId="7ABFB167">
      <w:pPr>
        <w:spacing w:before="0"/>
        <w:ind w:firstLine="567"/>
        <w:jc w:val="both"/>
        <w:rPr>
          <w:rFonts w:eastAsia="Times New Roman"/>
          <w:bCs/>
          <w:spacing w:val="-2"/>
          <w:kern w:val="2"/>
          <w:lang w:val="vi-VN"/>
        </w:rPr>
      </w:pPr>
      <w:r>
        <w:rPr>
          <w:rFonts w:eastAsia="Times New Roman"/>
          <w:spacing w:val="-4"/>
          <w:lang w:val="vi-VN"/>
        </w:rPr>
        <w:t xml:space="preserve">a) </w:t>
      </w:r>
      <w:bookmarkStart w:id="2" w:name="_Hlk170470955"/>
      <w:r>
        <w:rPr>
          <w:rFonts w:eastAsia="Times New Roman"/>
          <w:spacing w:val="-4"/>
          <w:lang w:val="vi-VN"/>
        </w:rPr>
        <w:t>Triển khai tổ chức thực hiện, quản lý và khai thác, vận hành Dự án theo</w:t>
      </w:r>
      <w:r>
        <w:rPr>
          <w:rFonts w:eastAsia="Times New Roman"/>
          <w:bCs/>
          <w:spacing w:val="-2"/>
          <w:kern w:val="2"/>
          <w:lang w:val="vi-VN"/>
        </w:rPr>
        <w:t xml:space="preserve"> đúng Nghị quyết này và quy định của pháp luật có liên quan; đôn đốc kiểm tra các địa phương được giao làm cơ quan chủ quản hoặc cơ quan có thẩm quyền và chịu trách nhiệm về tiến độ, chất lượng Dự án; quản lý, sử dụng vốn</w:t>
      </w:r>
      <w:r>
        <w:rPr>
          <w:rFonts w:eastAsia="Times New Roman"/>
          <w:bCs/>
          <w:spacing w:val="-2"/>
          <w:kern w:val="2"/>
          <w:lang w:val="en-GB"/>
        </w:rPr>
        <w:t>,</w:t>
      </w:r>
      <w:r>
        <w:rPr>
          <w:rFonts w:eastAsia="Times New Roman"/>
          <w:bCs/>
          <w:spacing w:val="-2"/>
          <w:kern w:val="2"/>
          <w:lang w:val="vi-VN"/>
        </w:rPr>
        <w:t xml:space="preserve"> các nguồn lực </w:t>
      </w:r>
      <w:r>
        <w:rPr>
          <w:rFonts w:eastAsia="Times New Roman"/>
          <w:bCs/>
          <w:spacing w:val="-2"/>
          <w:kern w:val="2"/>
          <w:lang w:val="en-GB"/>
        </w:rPr>
        <w:t xml:space="preserve">và thực hiện các cơ chế, chính sách đặc biệt quy định tại Nghị quyết này bảo đảm </w:t>
      </w:r>
      <w:r>
        <w:rPr>
          <w:rFonts w:eastAsia="Times New Roman"/>
          <w:bCs/>
          <w:spacing w:val="-2"/>
          <w:kern w:val="2"/>
          <w:lang w:val="vi-VN"/>
        </w:rPr>
        <w:t>tiết kiệm, hiệu quả, phòng chống tham nhũng, tiêu cực; chỉ đạo các địa phương bảo đảm nguồn vốn thực hiện Dự án;</w:t>
      </w:r>
      <w:bookmarkEnd w:id="2"/>
    </w:p>
    <w:p w14:paraId="23A21ED5">
      <w:pPr>
        <w:spacing w:before="0"/>
        <w:ind w:firstLine="567"/>
        <w:jc w:val="both"/>
        <w:rPr>
          <w:rFonts w:eastAsia="Times New Roman"/>
          <w:bCs/>
          <w:spacing w:val="-2"/>
          <w:kern w:val="2"/>
          <w:lang w:val="en-GB"/>
        </w:rPr>
      </w:pPr>
      <w:r>
        <w:rPr>
          <w:rFonts w:eastAsia="Times New Roman"/>
          <w:bCs/>
          <w:spacing w:val="-2"/>
          <w:kern w:val="2"/>
          <w:lang w:val="en-GB"/>
        </w:rPr>
        <w:t>b) K</w:t>
      </w:r>
      <w:r>
        <w:rPr>
          <w:iCs/>
          <w:lang w:val="pt-BR"/>
        </w:rPr>
        <w:t>hẩn trương chỉ đạo các Bộ, ngành, cơ quan liên quan tổng kết, đánh giá, nghiên cứu có giải pháp tháo gỡ tổng thể các khó khăn, vướng mắc liên quan đến việc triển khai các dự án chồng lấn với khu vực quy hoạch khoáng sản;</w:t>
      </w:r>
    </w:p>
    <w:p w14:paraId="2705B32E">
      <w:pPr>
        <w:spacing w:before="0"/>
        <w:ind w:firstLine="567"/>
        <w:jc w:val="both"/>
        <w:rPr>
          <w:rFonts w:eastAsia="Times New Roman"/>
          <w:bCs/>
          <w:spacing w:val="-2"/>
          <w:kern w:val="2"/>
          <w:lang w:val="vi-VN"/>
        </w:rPr>
      </w:pPr>
      <w:bookmarkStart w:id="3" w:name="_Hlk170471138"/>
      <w:r>
        <w:rPr>
          <w:rFonts w:eastAsia="Times New Roman"/>
          <w:bCs/>
          <w:spacing w:val="-2"/>
          <w:kern w:val="2"/>
          <w:lang w:val="en-GB"/>
        </w:rPr>
        <w:t>c</w:t>
      </w:r>
      <w:r>
        <w:rPr>
          <w:rFonts w:eastAsia="Times New Roman"/>
          <w:bCs/>
          <w:spacing w:val="-2"/>
          <w:kern w:val="2"/>
          <w:lang w:val="vi-VN"/>
        </w:rPr>
        <w:t>) Lãnh đạo, chỉ đạo việc triển khai thực hiện Nghị quyết này, bảo đảm đúng mục tiêu, công khai, minh bạch và hiệu quả, không để trục lợi chính sách, thất thoát, lãng phí; hằng năm báo cáo Quốc hội tại kỳ họp cuối năm về tình hình thực hiện Dự án; thông tin đầy đủ để người dân hiểu, đồng thuận về chủ trương đầu tư và hỗ trợ triển khai</w:t>
      </w:r>
      <w:r>
        <w:rPr>
          <w:rFonts w:eastAsia="Times New Roman"/>
          <w:bCs/>
          <w:spacing w:val="-2"/>
          <w:kern w:val="2"/>
        </w:rPr>
        <w:t xml:space="preserve"> thực hiện</w:t>
      </w:r>
      <w:r>
        <w:rPr>
          <w:rFonts w:eastAsia="Times New Roman"/>
          <w:bCs/>
          <w:spacing w:val="-2"/>
          <w:kern w:val="2"/>
          <w:lang w:val="vi-VN"/>
        </w:rPr>
        <w:t xml:space="preserve"> Dự án.</w:t>
      </w:r>
    </w:p>
    <w:bookmarkEnd w:id="3"/>
    <w:p w14:paraId="20B7C1CE">
      <w:pPr>
        <w:spacing w:before="0"/>
        <w:ind w:firstLine="567"/>
        <w:jc w:val="both"/>
        <w:rPr>
          <w:rFonts w:eastAsia="Times New Roman"/>
          <w:bCs/>
          <w:spacing w:val="-2"/>
          <w:kern w:val="2"/>
          <w:lang w:val="vi-VN"/>
        </w:rPr>
      </w:pPr>
      <w:r>
        <w:rPr>
          <w:rFonts w:eastAsia="Times New Roman"/>
          <w:bCs/>
          <w:spacing w:val="-2"/>
          <w:kern w:val="2"/>
          <w:lang w:val="vi-VN"/>
        </w:rPr>
        <w:t xml:space="preserve">3. Các địa phương chịu trách nhiệm trước Chính phủ trong việc: </w:t>
      </w:r>
      <w:bookmarkStart w:id="4" w:name="_Hlk169964023"/>
      <w:r>
        <w:rPr>
          <w:rFonts w:eastAsia="Times New Roman"/>
          <w:bCs/>
          <w:spacing w:val="-2"/>
          <w:kern w:val="2"/>
          <w:lang w:val="vi-VN"/>
        </w:rPr>
        <w:t>bảo đảm nguồn vốn theo quy định tại</w:t>
      </w:r>
      <w:r>
        <w:rPr>
          <w:rFonts w:eastAsia="Times New Roman"/>
          <w:bCs/>
          <w:spacing w:val="-2"/>
          <w:kern w:val="2"/>
        </w:rPr>
        <w:t xml:space="preserve"> điểm b</w:t>
      </w:r>
      <w:r>
        <w:rPr>
          <w:rFonts w:eastAsia="Times New Roman"/>
          <w:bCs/>
          <w:spacing w:val="-2"/>
          <w:kern w:val="2"/>
          <w:lang w:val="vi-VN"/>
        </w:rPr>
        <w:t xml:space="preserve"> khoản 5 Điều 2 của Nghị quyết này</w:t>
      </w:r>
      <w:bookmarkEnd w:id="4"/>
      <w:r>
        <w:rPr>
          <w:rFonts w:eastAsia="Times New Roman"/>
          <w:bCs/>
          <w:spacing w:val="-2"/>
          <w:kern w:val="2"/>
          <w:lang w:val="vi-VN"/>
        </w:rPr>
        <w:t>; tiến độ bồi thường, hỗ trợ, tái định cư của Dự án; tiến độ, chất lượng dự án thành phần được giao làm cơ quan chủ quản hoặc cơ quan có thẩm quyền. Trường hợp tăng tổng mức đầu tư của dự án thành phần, địa phương được giao làm cơ quan chủ quản hoặc cơ quan có thẩm quyền của dự án thành phần có trách nhiệm cân đối bổ sung nguồn vốn từ ngân sách địa phương để thực hiện dự án thành phần đó. Trường hợp giảm tổng mức đầu tư của dự án thành phần, ngân sách trung ương dự kiến bố trí cho dự án thành phần đó giảm tương ứng.</w:t>
      </w:r>
    </w:p>
    <w:p w14:paraId="4492CA5C">
      <w:pPr>
        <w:spacing w:before="0"/>
        <w:ind w:firstLine="567"/>
        <w:jc w:val="both"/>
        <w:rPr>
          <w:rFonts w:eastAsia="Times New Roman"/>
          <w:b/>
          <w:bCs/>
          <w:spacing w:val="-2"/>
          <w:kern w:val="2"/>
          <w:lang w:val="vi-VN"/>
        </w:rPr>
      </w:pPr>
      <w:r>
        <w:rPr>
          <w:rFonts w:eastAsia="Times New Roman"/>
          <w:b/>
          <w:bCs/>
          <w:spacing w:val="-2"/>
          <w:kern w:val="2"/>
          <w:lang w:val="vi-VN"/>
        </w:rPr>
        <w:t>Điều 4</w:t>
      </w:r>
    </w:p>
    <w:p w14:paraId="4E6A130C">
      <w:pPr>
        <w:spacing w:before="0"/>
        <w:ind w:firstLine="567"/>
        <w:jc w:val="both"/>
        <w:rPr>
          <w:rFonts w:eastAsia="Times New Roman"/>
          <w:bCs/>
          <w:spacing w:val="-2"/>
          <w:kern w:val="2"/>
          <w:lang w:val="vi-VN"/>
        </w:rPr>
      </w:pPr>
      <w:r>
        <w:rPr>
          <w:rFonts w:eastAsia="Times New Roman"/>
          <w:bCs/>
          <w:spacing w:val="-2"/>
          <w:kern w:val="2"/>
          <w:lang w:val="vi-VN"/>
        </w:rPr>
        <w:t>1. Kiểm toán nhà nước, trong phạm vi nhiệm vụ, quyền hạn của mình, kiểm toán việc thực hiện Nghị quyết này.</w:t>
      </w:r>
    </w:p>
    <w:p w14:paraId="4AE08533">
      <w:pPr>
        <w:spacing w:before="0"/>
        <w:ind w:firstLine="567"/>
        <w:jc w:val="both"/>
        <w:rPr>
          <w:rFonts w:eastAsia="Times New Roman"/>
          <w:bCs/>
          <w:spacing w:val="-2"/>
          <w:kern w:val="2"/>
          <w:lang w:val="vi-VN"/>
        </w:rPr>
      </w:pPr>
      <w:r>
        <w:rPr>
          <w:rFonts w:eastAsia="Times New Roman"/>
          <w:bCs/>
          <w:spacing w:val="-2"/>
          <w:kern w:val="2"/>
          <w:lang w:val="vi-VN"/>
        </w:rPr>
        <w:t xml:space="preserve">2. Ủy ban Thường vụ Quốc hội, Ủy ban Kinh tế, Hội đồng </w:t>
      </w:r>
      <w:r>
        <w:rPr>
          <w:rFonts w:eastAsia="Times New Roman"/>
          <w:bCs/>
          <w:spacing w:val="-2"/>
          <w:kern w:val="2"/>
          <w:lang w:val="en-GB"/>
        </w:rPr>
        <w:t>D</w:t>
      </w:r>
      <w:r>
        <w:rPr>
          <w:rFonts w:eastAsia="Times New Roman"/>
          <w:bCs/>
          <w:spacing w:val="-2"/>
          <w:kern w:val="2"/>
          <w:lang w:val="vi-VN"/>
        </w:rPr>
        <w:t xml:space="preserve">ân tộc, các </w:t>
      </w:r>
      <w:r>
        <w:rPr>
          <w:rFonts w:eastAsia="Times New Roman"/>
          <w:bCs/>
          <w:spacing w:val="-2"/>
          <w:kern w:val="2"/>
          <w:lang w:val="en-GB"/>
        </w:rPr>
        <w:t>Ủ</w:t>
      </w:r>
      <w:r>
        <w:rPr>
          <w:rFonts w:eastAsia="Times New Roman"/>
          <w:bCs/>
          <w:spacing w:val="-2"/>
          <w:kern w:val="2"/>
          <w:lang w:val="vi-VN"/>
        </w:rPr>
        <w:t xml:space="preserve">y ban khác của Quốc hội, Đoàn đại biểu Quốc hội, đại biểu Quốc hội, </w:t>
      </w:r>
      <w:r>
        <w:rPr>
          <w:rFonts w:eastAsia="Times New Roman"/>
          <w:bCs/>
          <w:spacing w:val="-2"/>
          <w:kern w:val="2"/>
          <w:lang w:val="en-GB"/>
        </w:rPr>
        <w:t>M</w:t>
      </w:r>
      <w:r>
        <w:rPr>
          <w:rFonts w:eastAsia="Times New Roman"/>
          <w:bCs/>
          <w:spacing w:val="-2"/>
          <w:kern w:val="2"/>
          <w:lang w:val="vi-VN"/>
        </w:rPr>
        <w:t>ặt trận Tổ quốc Việt Nam và các tổ chức thành viên của Mặt trận, trong phạm vi nhiệm vụ, quyền hạn của mình, giám sát việc thực hiện Nghị quyết này.</w:t>
      </w:r>
    </w:p>
    <w:p w14:paraId="2B8E415D">
      <w:pPr>
        <w:spacing w:before="0" w:after="0"/>
        <w:ind w:firstLine="567"/>
        <w:jc w:val="both"/>
        <w:rPr>
          <w:rFonts w:eastAsia="Times New Roman"/>
          <w:bCs/>
          <w:i/>
          <w:spacing w:val="-2"/>
          <w:kern w:val="2"/>
          <w:lang w:val="vi-VN"/>
        </w:rPr>
      </w:pPr>
      <w:r>
        <w:rPr>
          <w:rFonts w:eastAsia="Times New Roman"/>
          <w:bCs/>
          <w:spacing w:val="-2"/>
          <w:kern w:val="2"/>
          <w:lang w:val="vi-VN" w:eastAsia="vi-VN"/>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57600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60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pt;margin-top:-0.05pt;height:0pt;width:453.55pt;mso-position-horizontal-relative:margin;z-index:251661312;mso-width-relative:page;mso-height-relative:page;" filled="f" stroked="t" coordsize="21600,21600" o:gfxdata="UEsDBAoAAAAAAIdO4kAAAAAAAAAAAAAAAAAEAAAAZHJzL1BLAwQUAAAACACHTuJAm3Djt9IAAAAE&#10;AQAADwAAAGRycy9kb3ducmV2LnhtbE2PwU7DMBBE70j8g7VI3Fo7gICEbCqKBNyQ2tK7Gy9J1Hgd&#10;Yqctf8/CBW4zmtXM23Jx8r060Bi7wAjZ3IAiroPruEF43zzP7kHFZNnZPjAhfFGERXV+VtrChSOv&#10;6LBOjZISjoVFaFMaCq1j3ZK3cR4GYsk+wuhtEjs22o32KOW+11fG3GpvO5aF1g701FK9X08eYbnJ&#10;r1/cdnrdv+U39LjMszh9bhEvLzLzACrRKf0dww++oEMlTLswsYuqR5BHEsIsAyVhbu5E7H69rkr9&#10;H776BlBLAwQUAAAACACHTuJALh+4nekBAADgAwAADgAAAGRycy9lMm9Eb2MueG1srVPBbhshEL1X&#10;6j8g7vVuYsWNVl7nYCu9VK2lpL1PWHYXCRjEEK/99x1Yx3LTSw7lgAYG3sx7PNYPR2fFQUcy6Ft5&#10;s6il0F5hZ/zQyl/Pj1/upaAEvgOLXrfypEk+bD5/Wk+h0bc4ou10FAziqZlCK8eUQlNVpEbtgBYY&#10;tOdkj9FB4mUcqi7CxOjOVrd1vaomjF2IqDQR7+7mpDwjxo8AYt8bpXeoXp32aUaN2kJiSjSaQHJT&#10;uu17rdLPviedhG0lM01l5iIcv+S52qyhGSKE0ahzC/CRFt5xcmA8F71A7SCBeI3mHyhnVETCPi0U&#10;umomUhRhFjf1O22eRgi6cGGpKVxEp/8Hq34c9lGYrpVLKTw4fvCnFMEMYxJb9J4FxCiWWacpUMPH&#10;t34fzysK+5hJH/voRG9N+M2GKjIwMXEsKp8uKutjEoo3776uah5SqLdcNUNkqBApfdPoRA5aaY3P&#10;AkADh++UuCwffTuStz0+GmvLI1ovplaulncZGdiYPRuCQxeYHPlBCrADO16lWBAJreny7YxDJ9ra&#10;KA7ANmGvdjg9c7tSWKDECeZQRpaBO/jram5nBzTOl0tqdpUziT+KNa6V99e3rc8VdTHnmVSWdhYz&#10;Ry/YnYrGVV7xw5eiZ5NmZ12vOb7+mJ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3Djt9IAAAAE&#10;AQAADwAAAAAAAAABACAAAAAiAAAAZHJzL2Rvd25yZXYueG1sUEsBAhQAFAAAAAgAh07iQC4fuJ3p&#10;AQAA4AMAAA4AAAAAAAAAAQAgAAAAIQEAAGRycy9lMm9Eb2MueG1sUEsFBgAAAAAGAAYAWQEAAHwF&#10;AAAAAA==&#10;">
                <v:fill on="f" focussize="0,0"/>
                <v:stroke weight="0.5pt" color="#000000" miterlimit="8" joinstyle="miter"/>
                <v:imagedata o:title=""/>
                <o:lock v:ext="edit" aspectratio="f"/>
              </v:line>
            </w:pict>
          </mc:Fallback>
        </mc:AlternateContent>
      </w:r>
      <w:r>
        <w:rPr>
          <w:rFonts w:eastAsia="Times New Roman"/>
          <w:bCs/>
          <w:i/>
          <w:spacing w:val="-2"/>
          <w:kern w:val="2"/>
          <w:lang w:val="vi-VN"/>
        </w:rPr>
        <w:t xml:space="preserve">Nghị quyết này được Quốc hội nước Cộng hòa xã hội chủ nghĩa Việt Nam khóa XV, </w:t>
      </w:r>
      <w:r>
        <w:rPr>
          <w:rFonts w:eastAsia="Times New Roman"/>
          <w:bCs/>
          <w:i/>
          <w:spacing w:val="-2"/>
          <w:kern w:val="2"/>
          <w:lang w:val="en-GB"/>
        </w:rPr>
        <w:t>k</w:t>
      </w:r>
      <w:r>
        <w:rPr>
          <w:rFonts w:eastAsia="Times New Roman"/>
          <w:bCs/>
          <w:i/>
          <w:spacing w:val="-2"/>
          <w:kern w:val="2"/>
          <w:lang w:val="vi-VN"/>
        </w:rPr>
        <w:t xml:space="preserve">ỳ họp thứ </w:t>
      </w:r>
      <w:r>
        <w:rPr>
          <w:rFonts w:eastAsia="Times New Roman"/>
          <w:bCs/>
          <w:i/>
          <w:spacing w:val="-2"/>
          <w:kern w:val="2"/>
        </w:rPr>
        <w:t>7</w:t>
      </w:r>
      <w:r>
        <w:rPr>
          <w:rFonts w:eastAsia="Times New Roman"/>
          <w:bCs/>
          <w:i/>
          <w:spacing w:val="-2"/>
          <w:kern w:val="2"/>
          <w:lang w:val="vi-VN"/>
        </w:rPr>
        <w:t xml:space="preserve"> thông qua ngày </w:t>
      </w:r>
      <w:r>
        <w:rPr>
          <w:rFonts w:eastAsia="Times New Roman"/>
          <w:bCs/>
          <w:i/>
          <w:spacing w:val="-2"/>
          <w:kern w:val="2"/>
        </w:rPr>
        <w:t>28</w:t>
      </w:r>
      <w:r>
        <w:rPr>
          <w:rFonts w:eastAsia="Times New Roman"/>
          <w:bCs/>
          <w:i/>
          <w:spacing w:val="-2"/>
          <w:kern w:val="2"/>
          <w:lang w:val="vi-VN"/>
        </w:rPr>
        <w:t xml:space="preserve"> tháng </w:t>
      </w:r>
      <w:r>
        <w:rPr>
          <w:rFonts w:eastAsia="Times New Roman"/>
          <w:bCs/>
          <w:i/>
          <w:spacing w:val="-2"/>
          <w:kern w:val="2"/>
        </w:rPr>
        <w:t>6</w:t>
      </w:r>
      <w:r>
        <w:rPr>
          <w:rFonts w:eastAsia="Times New Roman"/>
          <w:bCs/>
          <w:i/>
          <w:spacing w:val="-2"/>
          <w:kern w:val="2"/>
          <w:lang w:val="vi-VN"/>
        </w:rPr>
        <w:t xml:space="preserve"> năm 2024.</w:t>
      </w:r>
    </w:p>
    <w:p w14:paraId="5B0DE541">
      <w:pPr>
        <w:spacing w:before="0" w:after="0"/>
        <w:jc w:val="both"/>
        <w:rPr>
          <w:rFonts w:eastAsia="Times New Roman"/>
          <w:bCs/>
          <w:spacing w:val="-2"/>
          <w:kern w:val="2"/>
          <w:lang w:val="vi-VN"/>
        </w:rPr>
      </w:pP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1"/>
        <w:gridCol w:w="4531"/>
      </w:tblGrid>
      <w:tr w14:paraId="2FDB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left w:val="nil"/>
              <w:bottom w:val="nil"/>
              <w:right w:val="nil"/>
            </w:tcBorders>
          </w:tcPr>
          <w:p w14:paraId="260AB5B1">
            <w:pPr>
              <w:spacing w:before="0" w:after="0"/>
              <w:jc w:val="both"/>
              <w:rPr>
                <w:rFonts w:ascii="Calibri" w:hAnsi="Calibri" w:eastAsia="Times New Roman"/>
                <w:bCs/>
                <w:spacing w:val="-2"/>
                <w:kern w:val="2"/>
                <w:lang w:val="vi-VN"/>
              </w:rPr>
            </w:pPr>
          </w:p>
          <w:p w14:paraId="394620A6">
            <w:pPr>
              <w:spacing w:before="0" w:after="0"/>
              <w:jc w:val="both"/>
              <w:rPr>
                <w:rFonts w:ascii="Times New Roman" w:hAnsi="Times New Roman" w:eastAsia="Times New Roman"/>
                <w:bCs/>
                <w:spacing w:val="-2"/>
                <w:kern w:val="2"/>
                <w:sz w:val="24"/>
                <w:szCs w:val="24"/>
                <w:lang w:val="vi-VN"/>
              </w:rPr>
            </w:pPr>
            <w:r>
              <w:rPr>
                <w:rFonts w:ascii="Times New Roman" w:hAnsi="Times New Roman" w:eastAsia="Times New Roman"/>
                <w:bCs/>
                <w:spacing w:val="-2"/>
                <w:kern w:val="2"/>
                <w:sz w:val="24"/>
                <w:szCs w:val="24"/>
                <w:lang w:val="vi-VN"/>
              </w:rPr>
              <w:t>E-pas: 56155</w:t>
            </w:r>
          </w:p>
        </w:tc>
        <w:tc>
          <w:tcPr>
            <w:tcW w:w="4531" w:type="dxa"/>
            <w:tcBorders>
              <w:top w:val="nil"/>
              <w:left w:val="nil"/>
              <w:bottom w:val="nil"/>
              <w:right w:val="nil"/>
            </w:tcBorders>
          </w:tcPr>
          <w:p w14:paraId="3DEE44D6">
            <w:pPr>
              <w:spacing w:before="0" w:after="0"/>
              <w:jc w:val="center"/>
              <w:rPr>
                <w:rFonts w:ascii="Times New Roman" w:hAnsi="Times New Roman" w:eastAsia="Times New Roman"/>
                <w:b/>
                <w:bCs/>
                <w:spacing w:val="-2"/>
                <w:kern w:val="2"/>
                <w:sz w:val="26"/>
                <w:szCs w:val="26"/>
              </w:rPr>
            </w:pPr>
            <w:r>
              <w:rPr>
                <w:rFonts w:ascii="Times New Roman" w:hAnsi="Times New Roman" w:eastAsia="Times New Roman"/>
                <w:b/>
                <w:bCs/>
                <w:spacing w:val="-2"/>
                <w:kern w:val="2"/>
                <w:sz w:val="26"/>
                <w:szCs w:val="26"/>
              </w:rPr>
              <w:t>CHỦ TỊCH QUỐC HỘI</w:t>
            </w:r>
          </w:p>
          <w:p w14:paraId="685077CD">
            <w:pPr>
              <w:spacing w:before="0" w:after="0"/>
              <w:jc w:val="center"/>
              <w:rPr>
                <w:rFonts w:ascii="Times New Roman" w:hAnsi="Times New Roman" w:eastAsia="Times New Roman"/>
                <w:b/>
                <w:bCs/>
                <w:spacing w:val="-2"/>
                <w:kern w:val="2"/>
              </w:rPr>
            </w:pPr>
          </w:p>
          <w:p w14:paraId="0C3C29BC">
            <w:pPr>
              <w:spacing w:before="0" w:after="0"/>
              <w:jc w:val="center"/>
              <w:rPr>
                <w:rFonts w:ascii="Times New Roman" w:hAnsi="Times New Roman" w:eastAsia="Times New Roman"/>
                <w:b/>
                <w:bCs/>
                <w:spacing w:val="-2"/>
                <w:kern w:val="2"/>
              </w:rPr>
            </w:pPr>
          </w:p>
          <w:p w14:paraId="27062CF3">
            <w:pPr>
              <w:spacing w:before="0" w:after="0"/>
              <w:jc w:val="center"/>
              <w:rPr>
                <w:rFonts w:ascii="Times New Roman" w:hAnsi="Times New Roman" w:eastAsia="Times New Roman"/>
                <w:b/>
                <w:bCs/>
                <w:spacing w:val="-2"/>
                <w:kern w:val="2"/>
              </w:rPr>
            </w:pPr>
            <w:r>
              <w:rPr>
                <w:rFonts w:ascii="Times New Roman" w:hAnsi="Times New Roman" w:eastAsia="Times New Roman"/>
                <w:b/>
                <w:bCs/>
                <w:spacing w:val="-2"/>
                <w:kern w:val="2"/>
              </w:rPr>
              <w:t>(Đã ký)</w:t>
            </w:r>
          </w:p>
          <w:p w14:paraId="7A469158">
            <w:pPr>
              <w:spacing w:before="0" w:after="0"/>
              <w:jc w:val="center"/>
              <w:rPr>
                <w:rFonts w:ascii="Times New Roman" w:hAnsi="Times New Roman" w:eastAsia="Times New Roman"/>
                <w:b/>
                <w:bCs/>
                <w:spacing w:val="-2"/>
                <w:kern w:val="2"/>
              </w:rPr>
            </w:pPr>
          </w:p>
          <w:p w14:paraId="1EC742C5">
            <w:pPr>
              <w:spacing w:before="0" w:after="0"/>
              <w:jc w:val="center"/>
              <w:rPr>
                <w:rFonts w:ascii="Times New Roman" w:hAnsi="Times New Roman" w:eastAsia="Times New Roman"/>
                <w:b/>
                <w:bCs/>
                <w:spacing w:val="-2"/>
                <w:kern w:val="2"/>
              </w:rPr>
            </w:pPr>
          </w:p>
          <w:p w14:paraId="525F5F63">
            <w:pPr>
              <w:spacing w:before="0" w:after="0"/>
              <w:jc w:val="center"/>
              <w:rPr>
                <w:rFonts w:ascii="Calibri" w:hAnsi="Calibri" w:eastAsia="Times New Roman"/>
                <w:bCs/>
                <w:spacing w:val="-2"/>
                <w:kern w:val="2"/>
              </w:rPr>
            </w:pPr>
            <w:r>
              <w:rPr>
                <w:rFonts w:ascii="Times New Roman" w:hAnsi="Times New Roman" w:eastAsia="Times New Roman"/>
                <w:b/>
                <w:bCs/>
                <w:spacing w:val="-2"/>
                <w:kern w:val="2"/>
              </w:rPr>
              <w:t>Trần Thanh Mẫn</w:t>
            </w:r>
          </w:p>
        </w:tc>
      </w:tr>
    </w:tbl>
    <w:p w14:paraId="6C79A4FA">
      <w:pPr>
        <w:spacing w:before="0" w:after="0"/>
        <w:jc w:val="both"/>
        <w:rPr>
          <w:rFonts w:eastAsia="Times New Roman"/>
          <w:bCs/>
          <w:spacing w:val="-2"/>
          <w:kern w:val="2"/>
          <w:lang w:val="vi-VN"/>
        </w:rPr>
      </w:pPr>
    </w:p>
    <w:p w14:paraId="543BD486">
      <w:pPr>
        <w:spacing w:before="0" w:after="0"/>
        <w:jc w:val="both"/>
        <w:rPr>
          <w:rFonts w:eastAsia="Times New Roman"/>
          <w:bCs/>
          <w:i/>
          <w:spacing w:val="-2"/>
          <w:kern w:val="2"/>
          <w:lang w:val="vi-VN"/>
        </w:rPr>
      </w:pPr>
    </w:p>
    <w:p w14:paraId="1D9F5E79">
      <w:pPr>
        <w:spacing w:after="0" w:line="276" w:lineRule="auto"/>
        <w:ind w:right="793" w:firstLine="709"/>
        <w:jc w:val="center"/>
        <w:rPr>
          <w:rFonts w:eastAsia="Times New Roman"/>
          <w:b/>
          <w:bCs/>
          <w:spacing w:val="-2"/>
          <w:kern w:val="2"/>
        </w:rPr>
      </w:pPr>
    </w:p>
    <w:p w14:paraId="3033F088">
      <w:pPr>
        <w:spacing w:after="0" w:line="276" w:lineRule="auto"/>
        <w:ind w:right="793" w:firstLine="709"/>
        <w:jc w:val="right"/>
        <w:rPr>
          <w:rFonts w:eastAsia="Times New Roman"/>
          <w:lang w:val="vi-VN"/>
        </w:rPr>
        <w:sectPr>
          <w:headerReference r:id="rId6" w:type="first"/>
          <w:headerReference r:id="rId5" w:type="default"/>
          <w:footnotePr>
            <w:numRestart w:val="eachSect"/>
          </w:footnotePr>
          <w:pgSz w:w="11907" w:h="16840"/>
          <w:pgMar w:top="1134" w:right="1134" w:bottom="1134" w:left="1701" w:header="567" w:footer="510" w:gutter="0"/>
          <w:pgNumType w:start="1"/>
          <w:cols w:space="720" w:num="1"/>
          <w:titlePg/>
          <w:docGrid w:linePitch="381" w:charSpace="0"/>
        </w:sectPr>
      </w:pPr>
    </w:p>
    <w:p w14:paraId="33652A24">
      <w:pPr>
        <w:suppressAutoHyphens/>
        <w:spacing w:before="0" w:line="276" w:lineRule="auto"/>
        <w:jc w:val="center"/>
        <w:rPr>
          <w:rFonts w:eastAsia="Times New Roman"/>
          <w:b/>
          <w:lang w:val="vi-VN"/>
        </w:rPr>
      </w:pPr>
      <w:r>
        <w:rPr>
          <w:rFonts w:eastAsia="Times New Roman"/>
          <w:b/>
          <w:lang w:val="da-DK"/>
        </w:rPr>
        <w:t xml:space="preserve">PHỤ LỤC </w:t>
      </w:r>
    </w:p>
    <w:p w14:paraId="4F85D985">
      <w:pPr>
        <w:spacing w:before="0" w:after="0" w:line="276" w:lineRule="auto"/>
        <w:ind w:left="-170" w:right="-170"/>
        <w:jc w:val="center"/>
        <w:rPr>
          <w:rFonts w:eastAsia="Times New Roman"/>
          <w:b/>
          <w:lang w:val="vi-VN"/>
        </w:rPr>
      </w:pPr>
      <w:r>
        <w:rPr>
          <w:rFonts w:eastAsia="Times New Roman"/>
          <w:b/>
        </w:rPr>
        <w:t>Danh mục các dự án thành phần thuộc</w:t>
      </w:r>
      <w:r>
        <w:rPr>
          <w:rFonts w:eastAsia="Times New Roman"/>
          <w:b/>
          <w:lang w:val="vi-VN"/>
        </w:rPr>
        <w:t xml:space="preserve"> </w:t>
      </w:r>
    </w:p>
    <w:p w14:paraId="6515F83F">
      <w:pPr>
        <w:spacing w:before="0" w:line="276" w:lineRule="auto"/>
        <w:ind w:left="-170" w:right="-170"/>
        <w:jc w:val="center"/>
        <w:rPr>
          <w:rFonts w:eastAsia="Times New Roman"/>
          <w:b/>
          <w:lang w:val="vi-VN"/>
        </w:rPr>
      </w:pPr>
      <w:r>
        <w:rPr>
          <w:rFonts w:eastAsia="Times New Roman"/>
          <w:b/>
          <w:lang w:val="vi-VN"/>
        </w:rPr>
        <w:t>Dự án đ</w:t>
      </w:r>
      <w:r>
        <w:rPr>
          <w:rFonts w:eastAsia="Times New Roman"/>
          <w:b/>
          <w:lang/>
        </w:rPr>
        <w:t>ầu t</w:t>
      </w:r>
      <w:r>
        <w:rPr>
          <w:rFonts w:hint="eastAsia" w:eastAsia="Times New Roman"/>
          <w:b/>
          <w:lang/>
        </w:rPr>
        <w:t>ư</w:t>
      </w:r>
      <w:r>
        <w:rPr>
          <w:rFonts w:eastAsia="Times New Roman"/>
          <w:b/>
          <w:lang/>
        </w:rPr>
        <w:t xml:space="preserve"> xây dựng </w:t>
      </w:r>
      <w:r>
        <w:rPr>
          <w:rFonts w:hint="eastAsia" w:eastAsia="Times New Roman"/>
          <w:b/>
          <w:lang/>
        </w:rPr>
        <w:t>đư</w:t>
      </w:r>
      <w:r>
        <w:rPr>
          <w:rFonts w:eastAsia="Times New Roman"/>
          <w:b/>
          <w:lang/>
        </w:rPr>
        <w:t xml:space="preserve">ờng cao tốc Bắc - Nam phía Tây </w:t>
      </w:r>
      <w:r>
        <w:rPr>
          <w:rFonts w:hint="eastAsia" w:eastAsia="Times New Roman"/>
          <w:b/>
          <w:lang/>
        </w:rPr>
        <w:t>đ</w:t>
      </w:r>
      <w:r>
        <w:rPr>
          <w:rFonts w:eastAsia="Times New Roman"/>
          <w:b/>
          <w:lang/>
        </w:rPr>
        <w:t>oạn Gia Nghĩa (</w:t>
      </w:r>
      <w:r>
        <w:rPr>
          <w:rFonts w:hint="eastAsia" w:eastAsia="Times New Roman"/>
          <w:b/>
          <w:lang/>
        </w:rPr>
        <w:t>Đ</w:t>
      </w:r>
      <w:r>
        <w:rPr>
          <w:rFonts w:eastAsia="Times New Roman"/>
          <w:b/>
          <w:lang/>
        </w:rPr>
        <w:t>ắk Nông) - Ch</w:t>
      </w:r>
      <w:r>
        <w:rPr>
          <w:rFonts w:hint="eastAsia" w:eastAsia="Times New Roman"/>
          <w:b/>
          <w:lang/>
        </w:rPr>
        <w:t>ơ</w:t>
      </w:r>
      <w:r>
        <w:rPr>
          <w:rFonts w:eastAsia="Times New Roman"/>
          <w:b/>
          <w:lang/>
        </w:rPr>
        <w:t>n Thành (Bình Ph</w:t>
      </w:r>
      <w:r>
        <w:rPr>
          <w:rFonts w:hint="eastAsia" w:eastAsia="Times New Roman"/>
          <w:b/>
          <w:lang/>
        </w:rPr>
        <w:t>ư</w:t>
      </w:r>
      <w:r>
        <w:rPr>
          <w:rFonts w:eastAsia="Times New Roman"/>
          <w:b/>
          <w:lang/>
        </w:rPr>
        <w:t xml:space="preserve">ớc) </w:t>
      </w:r>
    </w:p>
    <w:p w14:paraId="36650FC2">
      <w:pPr>
        <w:suppressAutoHyphens/>
        <w:spacing w:before="0" w:after="0" w:line="276" w:lineRule="auto"/>
        <w:jc w:val="center"/>
        <w:rPr>
          <w:rFonts w:eastAsia="Times New Roman"/>
          <w:i/>
          <w:lang w:val="vi-VN"/>
        </w:rPr>
      </w:pPr>
      <w:r>
        <w:rPr>
          <w:rFonts w:eastAsia="Times New Roman"/>
          <w:i/>
          <w:lang w:val="vi-VN"/>
        </w:rPr>
        <w:t xml:space="preserve">(Ban hành kèm theo Nghị quyết số </w:t>
      </w:r>
      <w:r>
        <w:rPr>
          <w:rFonts w:eastAsia="Times New Roman"/>
          <w:i/>
        </w:rPr>
        <w:t>138</w:t>
      </w:r>
      <w:r>
        <w:rPr>
          <w:rFonts w:eastAsia="Times New Roman"/>
          <w:i/>
          <w:lang w:val="vi-VN"/>
        </w:rPr>
        <w:t xml:space="preserve">/2024/QH15 ngày </w:t>
      </w:r>
      <w:r>
        <w:rPr>
          <w:rFonts w:eastAsia="Times New Roman"/>
          <w:i/>
        </w:rPr>
        <w:t>28</w:t>
      </w:r>
      <w:r>
        <w:rPr>
          <w:rFonts w:eastAsia="Times New Roman"/>
          <w:i/>
          <w:lang w:val="vi-VN"/>
        </w:rPr>
        <w:t xml:space="preserve"> tháng </w:t>
      </w:r>
      <w:r>
        <w:rPr>
          <w:rFonts w:eastAsia="Times New Roman"/>
          <w:i/>
        </w:rPr>
        <w:t>6</w:t>
      </w:r>
      <w:r>
        <w:rPr>
          <w:rFonts w:eastAsia="Times New Roman"/>
          <w:i/>
          <w:lang w:val="vi-VN"/>
        </w:rPr>
        <w:t xml:space="preserve"> năm 2024 của Quốc hội)</w:t>
      </w:r>
    </w:p>
    <w:tbl>
      <w:tblPr>
        <w:tblStyle w:val="55"/>
        <w:tblW w:w="152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856"/>
        <w:gridCol w:w="1137"/>
        <w:gridCol w:w="1275"/>
        <w:gridCol w:w="1135"/>
        <w:gridCol w:w="1162"/>
        <w:gridCol w:w="1106"/>
        <w:gridCol w:w="1100"/>
        <w:gridCol w:w="1117"/>
        <w:gridCol w:w="1261"/>
        <w:gridCol w:w="1526"/>
      </w:tblGrid>
      <w:tr w14:paraId="6351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564" w:type="dxa"/>
            <w:vMerge w:val="restart"/>
            <w:vAlign w:val="center"/>
          </w:tcPr>
          <w:p w14:paraId="5E1A55A6">
            <w:pPr>
              <w:suppressAutoHyphens/>
              <w:spacing w:before="20" w:after="20" w:line="240" w:lineRule="auto"/>
              <w:jc w:val="center"/>
              <w:rPr>
                <w:rFonts w:eastAsia="Times New Roman"/>
                <w:b/>
                <w:sz w:val="24"/>
                <w:szCs w:val="24"/>
                <w:lang w:val="vi-VN"/>
              </w:rPr>
            </w:pPr>
            <w:r>
              <w:rPr>
                <w:rFonts w:eastAsia="Times New Roman"/>
                <w:b/>
                <w:sz w:val="24"/>
                <w:szCs w:val="24"/>
                <w:lang w:val="vi-VN"/>
              </w:rPr>
              <w:t>TT</w:t>
            </w:r>
          </w:p>
        </w:tc>
        <w:tc>
          <w:tcPr>
            <w:tcW w:w="3856" w:type="dxa"/>
            <w:vMerge w:val="restart"/>
            <w:vAlign w:val="center"/>
          </w:tcPr>
          <w:p w14:paraId="3354A8C8">
            <w:pPr>
              <w:suppressAutoHyphens/>
              <w:spacing w:before="20" w:after="20" w:line="240" w:lineRule="auto"/>
              <w:jc w:val="center"/>
              <w:rPr>
                <w:rFonts w:eastAsia="Times New Roman"/>
                <w:b/>
                <w:sz w:val="24"/>
                <w:szCs w:val="24"/>
              </w:rPr>
            </w:pPr>
            <w:r>
              <w:rPr>
                <w:rFonts w:eastAsia="Times New Roman"/>
                <w:b/>
                <w:sz w:val="24"/>
                <w:szCs w:val="24"/>
              </w:rPr>
              <w:t>D</w:t>
            </w:r>
            <w:r>
              <w:rPr>
                <w:rFonts w:eastAsia="Times New Roman"/>
                <w:b/>
                <w:sz w:val="24"/>
                <w:szCs w:val="24"/>
                <w:lang w:val="vi-VN"/>
              </w:rPr>
              <w:t>ự án</w:t>
            </w:r>
            <w:r>
              <w:rPr>
                <w:rFonts w:eastAsia="Times New Roman"/>
                <w:b/>
                <w:sz w:val="24"/>
                <w:szCs w:val="24"/>
              </w:rPr>
              <w:t xml:space="preserve"> thành phần</w:t>
            </w:r>
          </w:p>
        </w:tc>
        <w:tc>
          <w:tcPr>
            <w:tcW w:w="1137" w:type="dxa"/>
            <w:vMerge w:val="restart"/>
            <w:vAlign w:val="center"/>
          </w:tcPr>
          <w:p w14:paraId="51DBD493">
            <w:pPr>
              <w:suppressAutoHyphens/>
              <w:spacing w:before="20" w:after="20" w:line="240" w:lineRule="auto"/>
              <w:jc w:val="center"/>
              <w:rPr>
                <w:rFonts w:eastAsia="Times New Roman"/>
                <w:b/>
                <w:sz w:val="24"/>
                <w:szCs w:val="24"/>
                <w:lang w:val="vi-VN"/>
              </w:rPr>
            </w:pPr>
            <w:r>
              <w:rPr>
                <w:rFonts w:eastAsia="Times New Roman"/>
                <w:b/>
                <w:sz w:val="24"/>
                <w:szCs w:val="24"/>
                <w:lang w:val="vi-VN"/>
              </w:rPr>
              <w:t>Chiều dài dự kiến (km)</w:t>
            </w:r>
          </w:p>
        </w:tc>
        <w:tc>
          <w:tcPr>
            <w:tcW w:w="2410" w:type="dxa"/>
            <w:gridSpan w:val="2"/>
            <w:vAlign w:val="center"/>
          </w:tcPr>
          <w:p w14:paraId="7976F606">
            <w:pPr>
              <w:suppressAutoHyphens/>
              <w:spacing w:before="20" w:after="20" w:line="240" w:lineRule="auto"/>
              <w:jc w:val="center"/>
              <w:rPr>
                <w:rFonts w:eastAsia="Times New Roman"/>
                <w:b/>
                <w:sz w:val="24"/>
                <w:szCs w:val="24"/>
                <w:lang w:val="vi-VN"/>
              </w:rPr>
            </w:pPr>
            <w:r>
              <w:rPr>
                <w:rFonts w:eastAsia="Times New Roman"/>
                <w:b/>
                <w:sz w:val="24"/>
                <w:szCs w:val="24"/>
                <w:lang w:val="vi-VN"/>
              </w:rPr>
              <w:t>Quy mô</w:t>
            </w:r>
          </w:p>
        </w:tc>
        <w:tc>
          <w:tcPr>
            <w:tcW w:w="1162" w:type="dxa"/>
            <w:vMerge w:val="restart"/>
            <w:vAlign w:val="center"/>
          </w:tcPr>
          <w:p w14:paraId="63C93039">
            <w:pPr>
              <w:suppressAutoHyphens/>
              <w:spacing w:before="20" w:after="20" w:line="240" w:lineRule="auto"/>
              <w:jc w:val="center"/>
              <w:rPr>
                <w:rFonts w:eastAsia="Times New Roman"/>
                <w:b/>
                <w:sz w:val="24"/>
                <w:szCs w:val="24"/>
                <w:lang w:val="vi-VN"/>
              </w:rPr>
            </w:pPr>
            <w:r>
              <w:rPr>
                <w:rFonts w:eastAsia="Times New Roman"/>
                <w:b/>
                <w:sz w:val="24"/>
                <w:szCs w:val="24"/>
                <w:lang w:val="vi-VN"/>
              </w:rPr>
              <w:t>Sơ bộ tổng mức đầu tư</w:t>
            </w:r>
          </w:p>
          <w:p w14:paraId="384BF836">
            <w:pPr>
              <w:suppressAutoHyphens/>
              <w:spacing w:before="20" w:after="20" w:line="240" w:lineRule="auto"/>
              <w:jc w:val="center"/>
              <w:rPr>
                <w:rFonts w:eastAsia="Times New Roman"/>
                <w:sz w:val="24"/>
                <w:szCs w:val="24"/>
                <w:lang w:val="vi-VN"/>
              </w:rPr>
            </w:pPr>
            <w:r>
              <w:rPr>
                <w:rFonts w:eastAsia="Times New Roman"/>
                <w:sz w:val="24"/>
                <w:szCs w:val="24"/>
                <w:lang w:val="vi-VN"/>
              </w:rPr>
              <w:t>(tỷ đồng)</w:t>
            </w:r>
          </w:p>
        </w:tc>
        <w:tc>
          <w:tcPr>
            <w:tcW w:w="3323" w:type="dxa"/>
            <w:gridSpan w:val="3"/>
            <w:vAlign w:val="center"/>
          </w:tcPr>
          <w:p w14:paraId="557E12F9">
            <w:pPr>
              <w:suppressAutoHyphens/>
              <w:spacing w:before="20" w:after="20" w:line="240" w:lineRule="auto"/>
              <w:jc w:val="center"/>
              <w:rPr>
                <w:rFonts w:eastAsia="Times New Roman"/>
                <w:b/>
                <w:sz w:val="24"/>
                <w:szCs w:val="24"/>
                <w:lang w:val="vi-VN"/>
              </w:rPr>
            </w:pPr>
            <w:r>
              <w:rPr>
                <w:rFonts w:eastAsia="Times New Roman"/>
                <w:b/>
                <w:sz w:val="24"/>
                <w:szCs w:val="24"/>
              </w:rPr>
              <w:t>N</w:t>
            </w:r>
            <w:r>
              <w:rPr>
                <w:rFonts w:eastAsia="Times New Roman"/>
                <w:b/>
                <w:sz w:val="24"/>
                <w:szCs w:val="24"/>
                <w:lang w:val="vi-VN"/>
              </w:rPr>
              <w:t>guồn vốn (tỷ đồng)</w:t>
            </w:r>
          </w:p>
        </w:tc>
        <w:tc>
          <w:tcPr>
            <w:tcW w:w="1261" w:type="dxa"/>
            <w:vMerge w:val="restart"/>
            <w:vAlign w:val="center"/>
          </w:tcPr>
          <w:p w14:paraId="60AAAEC0">
            <w:pPr>
              <w:suppressAutoHyphens/>
              <w:spacing w:before="20" w:after="20" w:line="240" w:lineRule="auto"/>
              <w:jc w:val="center"/>
              <w:rPr>
                <w:rFonts w:eastAsia="Times New Roman"/>
                <w:b/>
                <w:sz w:val="24"/>
                <w:szCs w:val="24"/>
                <w:lang w:val="vi-VN"/>
              </w:rPr>
            </w:pPr>
            <w:r>
              <w:rPr>
                <w:rFonts w:eastAsia="Times New Roman"/>
                <w:b/>
                <w:sz w:val="24"/>
                <w:szCs w:val="24"/>
                <w:lang w:val="vi-VN"/>
              </w:rPr>
              <w:t xml:space="preserve">Hình thức/ </w:t>
            </w:r>
            <w:r>
              <w:rPr>
                <w:rFonts w:eastAsia="Times New Roman"/>
                <w:b/>
                <w:sz w:val="24"/>
                <w:szCs w:val="24"/>
              </w:rPr>
              <w:t>P</w:t>
            </w:r>
            <w:r>
              <w:rPr>
                <w:rFonts w:eastAsia="Times New Roman"/>
                <w:b/>
                <w:sz w:val="24"/>
                <w:szCs w:val="24"/>
                <w:lang w:val="vi-VN"/>
              </w:rPr>
              <w:t>hương thức đầu tư</w:t>
            </w:r>
          </w:p>
        </w:tc>
        <w:tc>
          <w:tcPr>
            <w:tcW w:w="1526" w:type="dxa"/>
            <w:vMerge w:val="restart"/>
            <w:vAlign w:val="center"/>
          </w:tcPr>
          <w:p w14:paraId="0EFEE2DB">
            <w:pPr>
              <w:suppressAutoHyphens/>
              <w:spacing w:before="20" w:after="20" w:line="240" w:lineRule="auto"/>
              <w:jc w:val="center"/>
              <w:rPr>
                <w:rFonts w:eastAsia="Times New Roman"/>
                <w:b/>
                <w:sz w:val="24"/>
                <w:szCs w:val="24"/>
                <w:lang w:val="vi-VN"/>
              </w:rPr>
            </w:pPr>
            <w:r>
              <w:rPr>
                <w:rFonts w:eastAsia="Times New Roman"/>
                <w:b/>
                <w:sz w:val="24"/>
                <w:szCs w:val="24"/>
                <w:lang w:val="vi-VN"/>
              </w:rPr>
              <w:t>Cơ quan chủ quản/</w:t>
            </w:r>
            <w:r>
              <w:rPr>
                <w:rFonts w:eastAsia="Times New Roman"/>
                <w:b/>
                <w:sz w:val="24"/>
                <w:szCs w:val="24"/>
              </w:rPr>
              <w:t>C</w:t>
            </w:r>
            <w:r>
              <w:rPr>
                <w:rFonts w:eastAsia="Times New Roman"/>
                <w:b/>
                <w:sz w:val="24"/>
                <w:szCs w:val="24"/>
                <w:lang w:val="vi-VN"/>
              </w:rPr>
              <w:t>ơ quan có thẩm quyền</w:t>
            </w:r>
          </w:p>
        </w:tc>
      </w:tr>
      <w:tr w14:paraId="4A16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4" w:type="dxa"/>
            <w:vMerge w:val="continue"/>
            <w:vAlign w:val="center"/>
          </w:tcPr>
          <w:p w14:paraId="4CF2F214">
            <w:pPr>
              <w:suppressAutoHyphens/>
              <w:spacing w:before="20" w:after="20" w:line="240" w:lineRule="auto"/>
              <w:jc w:val="center"/>
              <w:rPr>
                <w:rFonts w:eastAsia="Times New Roman"/>
                <w:b/>
                <w:sz w:val="24"/>
                <w:szCs w:val="24"/>
                <w:lang w:val="vi-VN"/>
              </w:rPr>
            </w:pPr>
          </w:p>
        </w:tc>
        <w:tc>
          <w:tcPr>
            <w:tcW w:w="3856" w:type="dxa"/>
            <w:vMerge w:val="continue"/>
            <w:vAlign w:val="center"/>
          </w:tcPr>
          <w:p w14:paraId="1F3DD371">
            <w:pPr>
              <w:suppressAutoHyphens/>
              <w:spacing w:before="20" w:after="20" w:line="240" w:lineRule="auto"/>
              <w:jc w:val="center"/>
              <w:rPr>
                <w:rFonts w:eastAsia="Times New Roman"/>
                <w:b/>
                <w:sz w:val="24"/>
                <w:szCs w:val="24"/>
                <w:lang w:val="vi-VN"/>
              </w:rPr>
            </w:pPr>
          </w:p>
        </w:tc>
        <w:tc>
          <w:tcPr>
            <w:tcW w:w="1137" w:type="dxa"/>
            <w:vMerge w:val="continue"/>
            <w:vAlign w:val="center"/>
          </w:tcPr>
          <w:p w14:paraId="21E5584A">
            <w:pPr>
              <w:suppressAutoHyphens/>
              <w:spacing w:before="20" w:after="20" w:line="240" w:lineRule="auto"/>
              <w:jc w:val="center"/>
              <w:rPr>
                <w:rFonts w:eastAsia="Times New Roman"/>
                <w:b/>
                <w:sz w:val="24"/>
                <w:szCs w:val="24"/>
                <w:lang w:val="vi-VN"/>
              </w:rPr>
            </w:pPr>
          </w:p>
        </w:tc>
        <w:tc>
          <w:tcPr>
            <w:tcW w:w="1275" w:type="dxa"/>
            <w:vAlign w:val="center"/>
          </w:tcPr>
          <w:p w14:paraId="7678D83C">
            <w:pPr>
              <w:suppressAutoHyphens/>
              <w:spacing w:before="20" w:after="20" w:line="240" w:lineRule="auto"/>
              <w:jc w:val="center"/>
              <w:rPr>
                <w:rFonts w:eastAsia="Times New Roman"/>
                <w:b/>
                <w:sz w:val="24"/>
                <w:szCs w:val="24"/>
                <w:lang w:val="vi-VN"/>
              </w:rPr>
            </w:pPr>
            <w:r>
              <w:rPr>
                <w:rFonts w:eastAsia="Times New Roman"/>
                <w:b/>
                <w:sz w:val="24"/>
                <w:szCs w:val="24"/>
                <w:lang w:val="vi-VN"/>
              </w:rPr>
              <w:t>Số làn xe</w:t>
            </w:r>
          </w:p>
        </w:tc>
        <w:tc>
          <w:tcPr>
            <w:tcW w:w="1135" w:type="dxa"/>
            <w:vAlign w:val="center"/>
          </w:tcPr>
          <w:p w14:paraId="4251EE07">
            <w:pPr>
              <w:suppressAutoHyphens/>
              <w:spacing w:before="20" w:after="20" w:line="240" w:lineRule="auto"/>
              <w:jc w:val="center"/>
              <w:rPr>
                <w:rFonts w:eastAsia="Times New Roman"/>
                <w:b/>
                <w:sz w:val="24"/>
                <w:szCs w:val="24"/>
                <w:lang w:val="vi-VN"/>
              </w:rPr>
            </w:pPr>
            <w:r>
              <w:rPr>
                <w:rFonts w:eastAsia="Times New Roman"/>
                <w:b/>
                <w:sz w:val="24"/>
                <w:szCs w:val="24"/>
                <w:lang w:val="vi-VN"/>
              </w:rPr>
              <w:t>Cấp đường</w:t>
            </w:r>
          </w:p>
          <w:p w14:paraId="150C6F55">
            <w:pPr>
              <w:suppressAutoHyphens/>
              <w:spacing w:before="20" w:after="20" w:line="240" w:lineRule="auto"/>
              <w:jc w:val="center"/>
              <w:rPr>
                <w:rFonts w:eastAsia="Times New Roman"/>
                <w:b/>
                <w:sz w:val="24"/>
                <w:szCs w:val="24"/>
              </w:rPr>
            </w:pPr>
            <w:r>
              <w:rPr>
                <w:rFonts w:eastAsia="Times New Roman"/>
                <w:b/>
                <w:sz w:val="24"/>
                <w:szCs w:val="24"/>
                <w:lang w:val="vi-VN"/>
              </w:rPr>
              <w:t>(km</w:t>
            </w:r>
            <w:r>
              <w:rPr>
                <w:rFonts w:eastAsia="Times New Roman"/>
                <w:b/>
                <w:sz w:val="24"/>
                <w:szCs w:val="24"/>
              </w:rPr>
              <w:t>/h</w:t>
            </w:r>
            <w:r>
              <w:rPr>
                <w:rFonts w:eastAsia="Times New Roman"/>
                <w:b/>
                <w:sz w:val="24"/>
                <w:szCs w:val="24"/>
                <w:lang w:val="vi-VN"/>
              </w:rPr>
              <w:t>)</w:t>
            </w:r>
          </w:p>
        </w:tc>
        <w:tc>
          <w:tcPr>
            <w:tcW w:w="1162" w:type="dxa"/>
            <w:vMerge w:val="continue"/>
            <w:vAlign w:val="center"/>
          </w:tcPr>
          <w:p w14:paraId="1917DB56">
            <w:pPr>
              <w:suppressAutoHyphens/>
              <w:spacing w:before="20" w:after="20" w:line="240" w:lineRule="auto"/>
              <w:jc w:val="center"/>
              <w:rPr>
                <w:rFonts w:eastAsia="Times New Roman"/>
                <w:b/>
                <w:sz w:val="24"/>
                <w:szCs w:val="24"/>
                <w:lang w:val="vi-VN"/>
              </w:rPr>
            </w:pPr>
          </w:p>
        </w:tc>
        <w:tc>
          <w:tcPr>
            <w:tcW w:w="1106" w:type="dxa"/>
            <w:vAlign w:val="center"/>
          </w:tcPr>
          <w:p w14:paraId="43462259">
            <w:pPr>
              <w:suppressAutoHyphens/>
              <w:spacing w:before="20" w:after="20" w:line="240" w:lineRule="auto"/>
              <w:jc w:val="center"/>
              <w:rPr>
                <w:rFonts w:eastAsia="Times New Roman"/>
                <w:b/>
                <w:sz w:val="24"/>
                <w:szCs w:val="24"/>
                <w:lang w:val="vi-VN"/>
              </w:rPr>
            </w:pPr>
            <w:r>
              <w:rPr>
                <w:rFonts w:eastAsia="Times New Roman"/>
                <w:b/>
                <w:sz w:val="24"/>
                <w:szCs w:val="24"/>
                <w:lang w:val="vi-VN"/>
              </w:rPr>
              <w:t>Ngân sách trung ương</w:t>
            </w:r>
          </w:p>
        </w:tc>
        <w:tc>
          <w:tcPr>
            <w:tcW w:w="1100" w:type="dxa"/>
            <w:vAlign w:val="center"/>
          </w:tcPr>
          <w:p w14:paraId="74A07B55">
            <w:pPr>
              <w:suppressAutoHyphens/>
              <w:spacing w:before="20" w:after="20" w:line="240" w:lineRule="auto"/>
              <w:jc w:val="center"/>
              <w:rPr>
                <w:rFonts w:eastAsia="Times New Roman"/>
                <w:b/>
                <w:sz w:val="24"/>
                <w:szCs w:val="24"/>
                <w:lang w:val="vi-VN"/>
              </w:rPr>
            </w:pPr>
            <w:r>
              <w:rPr>
                <w:rFonts w:eastAsia="Times New Roman"/>
                <w:b/>
                <w:sz w:val="24"/>
                <w:szCs w:val="24"/>
                <w:lang w:val="vi-VN"/>
              </w:rPr>
              <w:t>Ngân sách địa phương</w:t>
            </w:r>
          </w:p>
        </w:tc>
        <w:tc>
          <w:tcPr>
            <w:tcW w:w="1117" w:type="dxa"/>
            <w:vAlign w:val="center"/>
          </w:tcPr>
          <w:p w14:paraId="4BA86543">
            <w:pPr>
              <w:suppressAutoHyphens/>
              <w:spacing w:before="20" w:after="20" w:line="240" w:lineRule="auto"/>
              <w:jc w:val="center"/>
              <w:rPr>
                <w:rFonts w:eastAsia="Times New Roman"/>
                <w:b/>
                <w:sz w:val="24"/>
                <w:szCs w:val="24"/>
                <w:lang w:val="vi-VN"/>
              </w:rPr>
            </w:pPr>
            <w:r>
              <w:rPr>
                <w:rFonts w:eastAsia="Times New Roman"/>
                <w:b/>
                <w:sz w:val="24"/>
                <w:szCs w:val="24"/>
                <w:lang w:val="vi-VN"/>
              </w:rPr>
              <w:t>Vốn nhà đầu tư thu xếp</w:t>
            </w:r>
          </w:p>
        </w:tc>
        <w:tc>
          <w:tcPr>
            <w:tcW w:w="1261" w:type="dxa"/>
            <w:vMerge w:val="continue"/>
            <w:vAlign w:val="center"/>
          </w:tcPr>
          <w:p w14:paraId="16419F13">
            <w:pPr>
              <w:suppressAutoHyphens/>
              <w:spacing w:before="20" w:after="20" w:line="240" w:lineRule="auto"/>
              <w:jc w:val="center"/>
              <w:rPr>
                <w:rFonts w:eastAsia="Times New Roman"/>
                <w:b/>
                <w:sz w:val="24"/>
                <w:szCs w:val="24"/>
                <w:lang w:val="vi-VN"/>
              </w:rPr>
            </w:pPr>
          </w:p>
        </w:tc>
        <w:tc>
          <w:tcPr>
            <w:tcW w:w="1526" w:type="dxa"/>
            <w:vMerge w:val="continue"/>
            <w:vAlign w:val="center"/>
          </w:tcPr>
          <w:p w14:paraId="6E80464F">
            <w:pPr>
              <w:suppressAutoHyphens/>
              <w:spacing w:before="20" w:after="20" w:line="240" w:lineRule="auto"/>
              <w:jc w:val="center"/>
              <w:rPr>
                <w:rFonts w:eastAsia="Times New Roman"/>
                <w:b/>
                <w:sz w:val="24"/>
                <w:szCs w:val="24"/>
                <w:lang w:val="vi-VN"/>
              </w:rPr>
            </w:pPr>
          </w:p>
        </w:tc>
      </w:tr>
      <w:tr w14:paraId="2AF4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64" w:type="dxa"/>
            <w:vAlign w:val="center"/>
          </w:tcPr>
          <w:p w14:paraId="52447056">
            <w:pPr>
              <w:suppressAutoHyphens/>
              <w:spacing w:before="20" w:after="20" w:line="240" w:lineRule="auto"/>
              <w:jc w:val="center"/>
              <w:rPr>
                <w:rFonts w:eastAsia="Times New Roman"/>
                <w:b/>
                <w:sz w:val="24"/>
                <w:szCs w:val="24"/>
                <w:lang w:val="vi-VN"/>
              </w:rPr>
            </w:pPr>
            <w:r>
              <w:rPr>
                <w:rFonts w:eastAsia="Times New Roman"/>
                <w:bCs/>
                <w:sz w:val="24"/>
                <w:szCs w:val="24"/>
                <w:lang w:val="vi-VN"/>
              </w:rPr>
              <w:t>1</w:t>
            </w:r>
          </w:p>
        </w:tc>
        <w:tc>
          <w:tcPr>
            <w:tcW w:w="3856" w:type="dxa"/>
            <w:vAlign w:val="center"/>
          </w:tcPr>
          <w:p w14:paraId="269687D5">
            <w:pPr>
              <w:spacing w:before="20" w:after="20" w:line="240" w:lineRule="auto"/>
              <w:ind w:right="-28"/>
              <w:rPr>
                <w:rFonts w:eastAsia="Times New Roman"/>
                <w:bCs/>
                <w:sz w:val="24"/>
                <w:szCs w:val="24"/>
                <w:lang w:val="vi-VN"/>
              </w:rPr>
            </w:pPr>
            <w:r>
              <w:rPr>
                <w:rFonts w:eastAsia="Times New Roman"/>
                <w:bCs/>
                <w:sz w:val="24"/>
                <w:szCs w:val="24"/>
                <w:lang w:val="vi-VN"/>
              </w:rPr>
              <w:t>Dự án thành phần 1: đầu tư xây dựng đường cao tốc Bắc - Nam phía Tây đoạn Gia Nghĩa (Đắk Nông) - Chơn Thành (Bình Phước) theo phương thức đối tác công tư</w:t>
            </w:r>
          </w:p>
        </w:tc>
        <w:tc>
          <w:tcPr>
            <w:tcW w:w="1137" w:type="dxa"/>
            <w:vAlign w:val="center"/>
          </w:tcPr>
          <w:p w14:paraId="5B287ED3">
            <w:pPr>
              <w:suppressAutoHyphens/>
              <w:spacing w:before="20" w:after="20" w:line="240" w:lineRule="auto"/>
              <w:jc w:val="center"/>
              <w:rPr>
                <w:rFonts w:eastAsia="Times New Roman"/>
                <w:sz w:val="24"/>
                <w:szCs w:val="24"/>
                <w:lang w:val="vi-VN"/>
              </w:rPr>
            </w:pPr>
            <w:r>
              <w:rPr>
                <w:rFonts w:eastAsia="Times New Roman"/>
                <w:sz w:val="24"/>
                <w:szCs w:val="24"/>
                <w:lang w:val="vi-VN"/>
              </w:rPr>
              <w:t>12</w:t>
            </w:r>
            <w:r>
              <w:rPr>
                <w:rFonts w:eastAsia="Times New Roman"/>
                <w:sz w:val="24"/>
                <w:szCs w:val="24"/>
              </w:rPr>
              <w:t>8</w:t>
            </w:r>
            <w:r>
              <w:rPr>
                <w:rFonts w:eastAsia="Times New Roman"/>
                <w:sz w:val="24"/>
                <w:szCs w:val="24"/>
                <w:lang w:val="vi-VN"/>
              </w:rPr>
              <w:t xml:space="preserve">,8 </w:t>
            </w:r>
          </w:p>
        </w:tc>
        <w:tc>
          <w:tcPr>
            <w:tcW w:w="1275" w:type="dxa"/>
            <w:vAlign w:val="center"/>
          </w:tcPr>
          <w:p w14:paraId="7AAAB5F5">
            <w:pPr>
              <w:suppressAutoHyphens/>
              <w:spacing w:before="20" w:after="20" w:line="240" w:lineRule="auto"/>
              <w:jc w:val="center"/>
              <w:rPr>
                <w:rFonts w:eastAsia="Times New Roman"/>
                <w:sz w:val="24"/>
                <w:szCs w:val="24"/>
                <w:lang w:val="vi-VN"/>
              </w:rPr>
            </w:pPr>
            <w:r>
              <w:rPr>
                <w:rFonts w:eastAsia="Times New Roman"/>
                <w:sz w:val="24"/>
                <w:szCs w:val="24"/>
              </w:rPr>
              <w:t>P</w:t>
            </w:r>
            <w:r>
              <w:rPr>
                <w:rFonts w:eastAsia="Times New Roman"/>
                <w:sz w:val="24"/>
                <w:szCs w:val="24"/>
                <w:lang w:val="vi-VN"/>
              </w:rPr>
              <w:t>hân kỳ 4 làn</w:t>
            </w:r>
            <w:r>
              <w:rPr>
                <w:rFonts w:eastAsia="Times New Roman"/>
                <w:sz w:val="24"/>
                <w:szCs w:val="24"/>
              </w:rPr>
              <w:t xml:space="preserve"> xe</w:t>
            </w:r>
          </w:p>
        </w:tc>
        <w:tc>
          <w:tcPr>
            <w:tcW w:w="1135" w:type="dxa"/>
            <w:vAlign w:val="center"/>
          </w:tcPr>
          <w:p w14:paraId="19729643">
            <w:pPr>
              <w:suppressAutoHyphens/>
              <w:spacing w:before="20" w:after="20" w:line="240" w:lineRule="auto"/>
              <w:jc w:val="center"/>
              <w:rPr>
                <w:rFonts w:eastAsia="Times New Roman"/>
                <w:sz w:val="24"/>
                <w:szCs w:val="24"/>
                <w:lang w:val="vi-VN"/>
              </w:rPr>
            </w:pPr>
            <w:r>
              <w:rPr>
                <w:rFonts w:eastAsia="Times New Roman"/>
                <w:sz w:val="24"/>
                <w:szCs w:val="24"/>
                <w:lang w:val="vi-VN"/>
              </w:rPr>
              <w:t>100-120</w:t>
            </w:r>
          </w:p>
        </w:tc>
        <w:tc>
          <w:tcPr>
            <w:tcW w:w="1162" w:type="dxa"/>
            <w:vAlign w:val="center"/>
          </w:tcPr>
          <w:p w14:paraId="5BFB3B24">
            <w:pPr>
              <w:suppressAutoHyphens/>
              <w:spacing w:before="20" w:after="20" w:line="240" w:lineRule="auto"/>
              <w:jc w:val="center"/>
              <w:rPr>
                <w:rFonts w:eastAsia="Times New Roman"/>
                <w:sz w:val="24"/>
                <w:szCs w:val="24"/>
              </w:rPr>
            </w:pPr>
            <w:r>
              <w:rPr>
                <w:rFonts w:eastAsia="Times New Roman"/>
                <w:sz w:val="24"/>
                <w:szCs w:val="24"/>
              </w:rPr>
              <w:t>19.612</w:t>
            </w:r>
          </w:p>
        </w:tc>
        <w:tc>
          <w:tcPr>
            <w:tcW w:w="1106" w:type="dxa"/>
            <w:vAlign w:val="center"/>
          </w:tcPr>
          <w:p w14:paraId="5018B3C3">
            <w:pPr>
              <w:suppressAutoHyphens/>
              <w:spacing w:before="20" w:after="20" w:line="240" w:lineRule="auto"/>
              <w:jc w:val="center"/>
              <w:rPr>
                <w:rFonts w:eastAsia="Times New Roman"/>
                <w:sz w:val="24"/>
                <w:szCs w:val="24"/>
              </w:rPr>
            </w:pPr>
            <w:r>
              <w:rPr>
                <w:rFonts w:eastAsia="Times New Roman"/>
                <w:sz w:val="24"/>
                <w:szCs w:val="24"/>
                <w:lang w:val="vi-VN"/>
              </w:rPr>
              <w:t>6.</w:t>
            </w:r>
            <w:r>
              <w:rPr>
                <w:rFonts w:eastAsia="Times New Roman"/>
                <w:sz w:val="24"/>
                <w:szCs w:val="24"/>
              </w:rPr>
              <w:t>842</w:t>
            </w:r>
          </w:p>
        </w:tc>
        <w:tc>
          <w:tcPr>
            <w:tcW w:w="1100" w:type="dxa"/>
            <w:vAlign w:val="center"/>
          </w:tcPr>
          <w:p w14:paraId="5EB517F4">
            <w:pPr>
              <w:suppressAutoHyphens/>
              <w:spacing w:before="20" w:after="20" w:line="240" w:lineRule="auto"/>
              <w:jc w:val="center"/>
              <w:rPr>
                <w:rFonts w:eastAsia="Times New Roman"/>
                <w:sz w:val="24"/>
                <w:szCs w:val="24"/>
                <w:lang w:val="vi-VN"/>
              </w:rPr>
            </w:pPr>
          </w:p>
        </w:tc>
        <w:tc>
          <w:tcPr>
            <w:tcW w:w="1117" w:type="dxa"/>
            <w:vAlign w:val="center"/>
          </w:tcPr>
          <w:p w14:paraId="6464DCDB">
            <w:pPr>
              <w:suppressAutoHyphens/>
              <w:spacing w:before="20" w:after="20" w:line="240" w:lineRule="auto"/>
              <w:jc w:val="center"/>
              <w:rPr>
                <w:rFonts w:eastAsia="Times New Roman"/>
                <w:sz w:val="24"/>
                <w:szCs w:val="24"/>
                <w:lang w:val="vi-VN"/>
              </w:rPr>
            </w:pPr>
            <w:r>
              <w:rPr>
                <w:rFonts w:eastAsia="Times New Roman"/>
                <w:sz w:val="24"/>
                <w:szCs w:val="24"/>
                <w:lang w:val="vi-VN"/>
              </w:rPr>
              <w:t xml:space="preserve">12.770 </w:t>
            </w:r>
          </w:p>
        </w:tc>
        <w:tc>
          <w:tcPr>
            <w:tcW w:w="1261" w:type="dxa"/>
            <w:vAlign w:val="center"/>
          </w:tcPr>
          <w:p w14:paraId="0C79A902">
            <w:pPr>
              <w:suppressAutoHyphens/>
              <w:spacing w:before="20" w:after="20" w:line="240" w:lineRule="auto"/>
              <w:jc w:val="center"/>
              <w:rPr>
                <w:rFonts w:eastAsia="Times New Roman"/>
                <w:sz w:val="24"/>
                <w:szCs w:val="24"/>
                <w:lang w:val="vi-VN"/>
              </w:rPr>
            </w:pPr>
            <w:r>
              <w:rPr>
                <w:rFonts w:eastAsia="Times New Roman"/>
                <w:sz w:val="24"/>
                <w:szCs w:val="24"/>
              </w:rPr>
              <w:t>P</w:t>
            </w:r>
            <w:r>
              <w:rPr>
                <w:rFonts w:eastAsia="Times New Roman"/>
                <w:sz w:val="24"/>
                <w:szCs w:val="24"/>
                <w:lang w:val="vi-VN"/>
              </w:rPr>
              <w:t>hương thức đối tác công tư</w:t>
            </w:r>
          </w:p>
        </w:tc>
        <w:tc>
          <w:tcPr>
            <w:tcW w:w="1526" w:type="dxa"/>
            <w:vAlign w:val="center"/>
          </w:tcPr>
          <w:p w14:paraId="13CFEE45">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3327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00E8A6B0">
            <w:pPr>
              <w:suppressAutoHyphens/>
              <w:spacing w:before="20" w:after="20" w:line="240" w:lineRule="auto"/>
              <w:jc w:val="center"/>
              <w:rPr>
                <w:rFonts w:eastAsia="Times New Roman"/>
                <w:sz w:val="24"/>
                <w:szCs w:val="24"/>
                <w:lang w:val="vi-VN"/>
              </w:rPr>
            </w:pPr>
            <w:r>
              <w:rPr>
                <w:rFonts w:eastAsia="Times New Roman"/>
                <w:sz w:val="24"/>
                <w:szCs w:val="24"/>
              </w:rPr>
              <w:t>2</w:t>
            </w:r>
          </w:p>
        </w:tc>
        <w:tc>
          <w:tcPr>
            <w:tcW w:w="7403" w:type="dxa"/>
            <w:gridSpan w:val="4"/>
            <w:vAlign w:val="center"/>
          </w:tcPr>
          <w:p w14:paraId="784F7172">
            <w:pPr>
              <w:suppressAutoHyphens/>
              <w:spacing w:before="20" w:after="20" w:line="240" w:lineRule="auto"/>
              <w:rPr>
                <w:rFonts w:eastAsia="Times New Roman"/>
                <w:sz w:val="24"/>
                <w:szCs w:val="24"/>
                <w:lang w:val="vi-VN"/>
              </w:rPr>
            </w:pPr>
            <w:r>
              <w:rPr>
                <w:rFonts w:eastAsia="Times New Roman"/>
                <w:bCs/>
                <w:sz w:val="24"/>
                <w:szCs w:val="24"/>
                <w:lang w:val="vi-VN"/>
              </w:rPr>
              <w:t xml:space="preserve"> </w:t>
            </w:r>
            <w:r>
              <w:rPr>
                <w:rFonts w:eastAsia="Times New Roman"/>
                <w:sz w:val="24"/>
                <w:szCs w:val="24"/>
                <w:lang w:val="vi-VN"/>
              </w:rPr>
              <w:t>Dự án thành phần 2: đầu tư xây dựng đường gom, cầu vượt ngang đoạn qua tỉnh Đắk Nông</w:t>
            </w:r>
          </w:p>
        </w:tc>
        <w:tc>
          <w:tcPr>
            <w:tcW w:w="1162" w:type="dxa"/>
            <w:vAlign w:val="center"/>
          </w:tcPr>
          <w:p w14:paraId="1AC01582">
            <w:pPr>
              <w:suppressAutoHyphens/>
              <w:spacing w:before="20" w:after="20" w:line="240" w:lineRule="auto"/>
              <w:jc w:val="center"/>
              <w:rPr>
                <w:rFonts w:eastAsia="Times New Roman"/>
                <w:sz w:val="24"/>
                <w:szCs w:val="24"/>
                <w:lang w:val="vi-VN"/>
              </w:rPr>
            </w:pPr>
            <w:r>
              <w:rPr>
                <w:rFonts w:eastAsia="Times New Roman"/>
                <w:sz w:val="24"/>
                <w:szCs w:val="24"/>
              </w:rPr>
              <w:t>338</w:t>
            </w:r>
          </w:p>
        </w:tc>
        <w:tc>
          <w:tcPr>
            <w:tcW w:w="1106" w:type="dxa"/>
            <w:vAlign w:val="center"/>
          </w:tcPr>
          <w:p w14:paraId="5605DB3E">
            <w:pPr>
              <w:suppressAutoHyphens/>
              <w:spacing w:before="20" w:after="20" w:line="240" w:lineRule="auto"/>
              <w:jc w:val="center"/>
              <w:rPr>
                <w:rFonts w:eastAsia="Times New Roman"/>
                <w:sz w:val="24"/>
                <w:szCs w:val="24"/>
                <w:lang w:val="vi-VN"/>
              </w:rPr>
            </w:pPr>
          </w:p>
        </w:tc>
        <w:tc>
          <w:tcPr>
            <w:tcW w:w="1100" w:type="dxa"/>
            <w:vAlign w:val="center"/>
          </w:tcPr>
          <w:p w14:paraId="39B8AA26">
            <w:pPr>
              <w:suppressAutoHyphens/>
              <w:spacing w:before="20" w:after="20" w:line="240" w:lineRule="auto"/>
              <w:jc w:val="center"/>
              <w:rPr>
                <w:rFonts w:eastAsia="Times New Roman"/>
                <w:sz w:val="24"/>
                <w:szCs w:val="24"/>
                <w:lang w:val="vi-VN"/>
              </w:rPr>
            </w:pPr>
            <w:r>
              <w:rPr>
                <w:rFonts w:eastAsia="Times New Roman"/>
                <w:sz w:val="24"/>
                <w:szCs w:val="24"/>
              </w:rPr>
              <w:t>338</w:t>
            </w:r>
          </w:p>
        </w:tc>
        <w:tc>
          <w:tcPr>
            <w:tcW w:w="1117" w:type="dxa"/>
          </w:tcPr>
          <w:p w14:paraId="7C64385C">
            <w:pPr>
              <w:suppressAutoHyphens/>
              <w:spacing w:before="20" w:after="20" w:line="240" w:lineRule="auto"/>
              <w:jc w:val="center"/>
              <w:rPr>
                <w:rFonts w:eastAsia="Times New Roman"/>
                <w:sz w:val="24"/>
                <w:szCs w:val="24"/>
                <w:lang w:val="vi-VN"/>
              </w:rPr>
            </w:pPr>
          </w:p>
        </w:tc>
        <w:tc>
          <w:tcPr>
            <w:tcW w:w="1261" w:type="dxa"/>
            <w:vAlign w:val="center"/>
          </w:tcPr>
          <w:p w14:paraId="2BD32958">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5EE5DBA0">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Đắk Nông </w:t>
            </w:r>
          </w:p>
        </w:tc>
      </w:tr>
      <w:tr w14:paraId="1B2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0AB2FC65">
            <w:pPr>
              <w:suppressAutoHyphens/>
              <w:spacing w:before="20" w:after="20" w:line="240" w:lineRule="auto"/>
              <w:jc w:val="center"/>
              <w:rPr>
                <w:rFonts w:eastAsia="Times New Roman"/>
                <w:sz w:val="24"/>
                <w:szCs w:val="24"/>
                <w:lang w:val="vi-VN"/>
              </w:rPr>
            </w:pPr>
            <w:r>
              <w:rPr>
                <w:rFonts w:eastAsia="Times New Roman"/>
                <w:sz w:val="24"/>
                <w:szCs w:val="24"/>
              </w:rPr>
              <w:t>3</w:t>
            </w:r>
          </w:p>
        </w:tc>
        <w:tc>
          <w:tcPr>
            <w:tcW w:w="7403" w:type="dxa"/>
            <w:gridSpan w:val="4"/>
            <w:vAlign w:val="center"/>
          </w:tcPr>
          <w:p w14:paraId="0F8969BD">
            <w:pPr>
              <w:suppressAutoHyphens/>
              <w:spacing w:before="20" w:after="20" w:line="240" w:lineRule="auto"/>
              <w:rPr>
                <w:rFonts w:eastAsia="Times New Roman"/>
                <w:sz w:val="24"/>
                <w:szCs w:val="24"/>
                <w:lang w:val="vi-VN"/>
              </w:rPr>
            </w:pPr>
            <w:r>
              <w:rPr>
                <w:rFonts w:eastAsia="Times New Roman"/>
                <w:sz w:val="24"/>
                <w:szCs w:val="24"/>
                <w:lang w:val="vi-VN"/>
              </w:rPr>
              <w:t>Dự án thành phần 3:</w:t>
            </w:r>
            <w:r>
              <w:rPr>
                <w:rFonts w:eastAsia="Times New Roman"/>
                <w:bCs/>
                <w:sz w:val="24"/>
                <w:szCs w:val="24"/>
                <w:lang w:val="vi-VN"/>
              </w:rPr>
              <w:t xml:space="preserve"> đầu tư xây dựng đường gom, cầu vượt ngang đoạn qua tỉnh Bình Phước</w:t>
            </w:r>
          </w:p>
        </w:tc>
        <w:tc>
          <w:tcPr>
            <w:tcW w:w="1162" w:type="dxa"/>
            <w:vAlign w:val="center"/>
          </w:tcPr>
          <w:p w14:paraId="25AA303C">
            <w:pPr>
              <w:suppressAutoHyphens/>
              <w:spacing w:before="20" w:after="20" w:line="240" w:lineRule="auto"/>
              <w:jc w:val="center"/>
              <w:rPr>
                <w:rFonts w:eastAsia="Times New Roman"/>
                <w:sz w:val="24"/>
                <w:szCs w:val="24"/>
              </w:rPr>
            </w:pPr>
            <w:r>
              <w:rPr>
                <w:rFonts w:eastAsia="Times New Roman"/>
                <w:sz w:val="24"/>
                <w:szCs w:val="24"/>
              </w:rPr>
              <w:t>951</w:t>
            </w:r>
          </w:p>
        </w:tc>
        <w:tc>
          <w:tcPr>
            <w:tcW w:w="1106" w:type="dxa"/>
            <w:vAlign w:val="center"/>
          </w:tcPr>
          <w:p w14:paraId="0D092699">
            <w:pPr>
              <w:suppressAutoHyphens/>
              <w:spacing w:before="20" w:after="20" w:line="240" w:lineRule="auto"/>
              <w:jc w:val="center"/>
              <w:rPr>
                <w:rFonts w:eastAsia="Times New Roman"/>
                <w:sz w:val="24"/>
                <w:szCs w:val="24"/>
                <w:lang w:val="vi-VN"/>
              </w:rPr>
            </w:pPr>
            <w:r>
              <w:rPr>
                <w:rFonts w:eastAsia="Times New Roman"/>
                <w:sz w:val="24"/>
                <w:szCs w:val="24"/>
              </w:rPr>
              <w:t>951</w:t>
            </w:r>
          </w:p>
        </w:tc>
        <w:tc>
          <w:tcPr>
            <w:tcW w:w="1100" w:type="dxa"/>
            <w:vAlign w:val="center"/>
          </w:tcPr>
          <w:p w14:paraId="331A62EC">
            <w:pPr>
              <w:suppressAutoHyphens/>
              <w:spacing w:before="20" w:after="20" w:line="240" w:lineRule="auto"/>
              <w:jc w:val="center"/>
              <w:rPr>
                <w:rFonts w:eastAsia="Times New Roman"/>
                <w:sz w:val="24"/>
                <w:szCs w:val="24"/>
              </w:rPr>
            </w:pPr>
          </w:p>
        </w:tc>
        <w:tc>
          <w:tcPr>
            <w:tcW w:w="1117" w:type="dxa"/>
            <w:vAlign w:val="center"/>
          </w:tcPr>
          <w:p w14:paraId="1651B913">
            <w:pPr>
              <w:suppressAutoHyphens/>
              <w:spacing w:before="20" w:after="20" w:line="240" w:lineRule="auto"/>
              <w:jc w:val="center"/>
              <w:rPr>
                <w:rFonts w:eastAsia="Times New Roman"/>
                <w:sz w:val="24"/>
                <w:szCs w:val="24"/>
                <w:lang w:val="vi-VN"/>
              </w:rPr>
            </w:pPr>
          </w:p>
        </w:tc>
        <w:tc>
          <w:tcPr>
            <w:tcW w:w="1261" w:type="dxa"/>
            <w:vAlign w:val="center"/>
          </w:tcPr>
          <w:p w14:paraId="5835D05D">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23875E0C">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7569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10DF730D">
            <w:pPr>
              <w:suppressAutoHyphens/>
              <w:spacing w:before="20" w:after="20" w:line="240" w:lineRule="auto"/>
              <w:jc w:val="center"/>
              <w:rPr>
                <w:rFonts w:eastAsia="Times New Roman"/>
                <w:sz w:val="24"/>
                <w:szCs w:val="24"/>
                <w:lang w:val="vi-VN"/>
              </w:rPr>
            </w:pPr>
            <w:r>
              <w:rPr>
                <w:rFonts w:eastAsia="Times New Roman"/>
                <w:sz w:val="24"/>
                <w:szCs w:val="24"/>
              </w:rPr>
              <w:t>4</w:t>
            </w:r>
          </w:p>
        </w:tc>
        <w:tc>
          <w:tcPr>
            <w:tcW w:w="7403" w:type="dxa"/>
            <w:gridSpan w:val="4"/>
            <w:vAlign w:val="center"/>
          </w:tcPr>
          <w:p w14:paraId="0AC511FD">
            <w:pPr>
              <w:spacing w:before="20" w:after="20" w:line="240" w:lineRule="auto"/>
              <w:ind w:right="-27"/>
              <w:rPr>
                <w:rFonts w:eastAsia="Times New Roman"/>
                <w:sz w:val="24"/>
                <w:szCs w:val="24"/>
                <w:lang w:val="vi-VN"/>
              </w:rPr>
            </w:pPr>
            <w:r>
              <w:rPr>
                <w:rFonts w:eastAsia="Times New Roman"/>
                <w:sz w:val="24"/>
                <w:szCs w:val="24"/>
                <w:lang w:val="vi-VN"/>
              </w:rPr>
              <w:t>Dự án thành phần 4: bồi thường, hỗ trợ</w:t>
            </w:r>
            <w:r>
              <w:rPr>
                <w:rFonts w:eastAsia="Times New Roman"/>
                <w:sz w:val="24"/>
                <w:szCs w:val="24"/>
              </w:rPr>
              <w:t>,</w:t>
            </w:r>
            <w:r>
              <w:rPr>
                <w:rFonts w:eastAsia="Times New Roman"/>
                <w:sz w:val="24"/>
                <w:szCs w:val="24"/>
                <w:lang w:val="vi-VN"/>
              </w:rPr>
              <w:t xml:space="preserve"> tái định cư đoạn qua tỉnh Đắk Nông</w:t>
            </w:r>
          </w:p>
        </w:tc>
        <w:tc>
          <w:tcPr>
            <w:tcW w:w="1162" w:type="dxa"/>
            <w:vAlign w:val="center"/>
          </w:tcPr>
          <w:p w14:paraId="454FC1FE">
            <w:pPr>
              <w:suppressAutoHyphens/>
              <w:spacing w:before="20" w:after="20" w:line="240" w:lineRule="auto"/>
              <w:jc w:val="center"/>
              <w:rPr>
                <w:rFonts w:eastAsia="Times New Roman"/>
                <w:sz w:val="24"/>
                <w:szCs w:val="24"/>
                <w:lang w:val="vi-VN"/>
              </w:rPr>
            </w:pPr>
            <w:r>
              <w:rPr>
                <w:rFonts w:eastAsia="Times New Roman"/>
                <w:sz w:val="24"/>
                <w:szCs w:val="24"/>
              </w:rPr>
              <w:t>662</w:t>
            </w:r>
          </w:p>
        </w:tc>
        <w:tc>
          <w:tcPr>
            <w:tcW w:w="1106" w:type="dxa"/>
            <w:vAlign w:val="center"/>
          </w:tcPr>
          <w:p w14:paraId="1FD21820">
            <w:pPr>
              <w:suppressAutoHyphens/>
              <w:spacing w:before="20" w:after="20" w:line="240" w:lineRule="auto"/>
              <w:jc w:val="center"/>
              <w:rPr>
                <w:rFonts w:eastAsia="Times New Roman"/>
                <w:sz w:val="24"/>
                <w:szCs w:val="24"/>
                <w:lang w:val="vi-VN"/>
              </w:rPr>
            </w:pPr>
          </w:p>
        </w:tc>
        <w:tc>
          <w:tcPr>
            <w:tcW w:w="1100" w:type="dxa"/>
            <w:vAlign w:val="center"/>
          </w:tcPr>
          <w:p w14:paraId="59F437D9">
            <w:pPr>
              <w:suppressAutoHyphens/>
              <w:spacing w:before="20" w:after="20" w:line="240" w:lineRule="auto"/>
              <w:jc w:val="center"/>
              <w:rPr>
                <w:rFonts w:eastAsia="Times New Roman"/>
                <w:sz w:val="24"/>
                <w:szCs w:val="24"/>
                <w:lang w:val="vi-VN"/>
              </w:rPr>
            </w:pPr>
            <w:r>
              <w:rPr>
                <w:rFonts w:eastAsia="Times New Roman"/>
                <w:sz w:val="24"/>
                <w:szCs w:val="24"/>
                <w:lang w:val="vi-VN"/>
              </w:rPr>
              <w:t>6</w:t>
            </w:r>
            <w:r>
              <w:rPr>
                <w:rFonts w:eastAsia="Times New Roman"/>
                <w:sz w:val="24"/>
                <w:szCs w:val="24"/>
              </w:rPr>
              <w:t>62</w:t>
            </w:r>
          </w:p>
        </w:tc>
        <w:tc>
          <w:tcPr>
            <w:tcW w:w="1117" w:type="dxa"/>
            <w:vAlign w:val="center"/>
          </w:tcPr>
          <w:p w14:paraId="090F70D4">
            <w:pPr>
              <w:suppressAutoHyphens/>
              <w:spacing w:before="20" w:after="20" w:line="240" w:lineRule="auto"/>
              <w:jc w:val="center"/>
              <w:rPr>
                <w:rFonts w:eastAsia="Times New Roman"/>
                <w:sz w:val="24"/>
                <w:szCs w:val="24"/>
                <w:lang w:val="vi-VN"/>
              </w:rPr>
            </w:pPr>
          </w:p>
        </w:tc>
        <w:tc>
          <w:tcPr>
            <w:tcW w:w="1261" w:type="dxa"/>
            <w:vAlign w:val="center"/>
          </w:tcPr>
          <w:p w14:paraId="30682532">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2667C123">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Đắk Nông </w:t>
            </w:r>
          </w:p>
        </w:tc>
      </w:tr>
      <w:tr w14:paraId="145D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5E94AD23">
            <w:pPr>
              <w:suppressAutoHyphens/>
              <w:spacing w:before="20" w:after="20" w:line="240" w:lineRule="auto"/>
              <w:jc w:val="center"/>
              <w:rPr>
                <w:rFonts w:eastAsia="Times New Roman"/>
                <w:b/>
                <w:sz w:val="24"/>
                <w:szCs w:val="24"/>
                <w:lang w:val="vi-VN"/>
              </w:rPr>
            </w:pPr>
            <w:r>
              <w:rPr>
                <w:rFonts w:eastAsia="Times New Roman"/>
                <w:sz w:val="24"/>
                <w:szCs w:val="24"/>
              </w:rPr>
              <w:t>5</w:t>
            </w:r>
          </w:p>
        </w:tc>
        <w:tc>
          <w:tcPr>
            <w:tcW w:w="7403" w:type="dxa"/>
            <w:gridSpan w:val="4"/>
            <w:vAlign w:val="center"/>
          </w:tcPr>
          <w:p w14:paraId="75CB141D">
            <w:pPr>
              <w:suppressAutoHyphens/>
              <w:spacing w:before="20" w:after="20" w:line="240" w:lineRule="auto"/>
              <w:rPr>
                <w:rFonts w:eastAsia="Times New Roman"/>
                <w:sz w:val="24"/>
                <w:szCs w:val="24"/>
                <w:lang w:val="vi-VN"/>
              </w:rPr>
            </w:pPr>
            <w:r>
              <w:rPr>
                <w:rFonts w:eastAsia="Times New Roman"/>
                <w:sz w:val="24"/>
                <w:szCs w:val="24"/>
                <w:lang w:val="vi-VN"/>
              </w:rPr>
              <w:t>Dự án thành phần 5: bồi thường, hỗ trợ</w:t>
            </w:r>
            <w:r>
              <w:rPr>
                <w:rFonts w:eastAsia="Times New Roman"/>
                <w:sz w:val="24"/>
                <w:szCs w:val="24"/>
              </w:rPr>
              <w:t>,</w:t>
            </w:r>
            <w:r>
              <w:rPr>
                <w:rFonts w:eastAsia="Times New Roman"/>
                <w:sz w:val="24"/>
                <w:szCs w:val="24"/>
                <w:lang w:val="vi-VN"/>
              </w:rPr>
              <w:t xml:space="preserve"> tái định cư đoạn qua tỉnh Bình Phước</w:t>
            </w:r>
          </w:p>
        </w:tc>
        <w:tc>
          <w:tcPr>
            <w:tcW w:w="1162" w:type="dxa"/>
            <w:vAlign w:val="center"/>
          </w:tcPr>
          <w:p w14:paraId="0ACF977F">
            <w:pPr>
              <w:suppressAutoHyphens/>
              <w:spacing w:before="20" w:after="20" w:line="240" w:lineRule="auto"/>
              <w:jc w:val="center"/>
              <w:rPr>
                <w:rFonts w:eastAsia="Times New Roman"/>
                <w:sz w:val="24"/>
                <w:szCs w:val="24"/>
                <w:lang w:val="vi-VN"/>
              </w:rPr>
            </w:pPr>
            <w:r>
              <w:rPr>
                <w:rFonts w:eastAsia="Times New Roman"/>
                <w:sz w:val="24"/>
                <w:szCs w:val="24"/>
              </w:rPr>
              <w:t>3.977</w:t>
            </w:r>
          </w:p>
        </w:tc>
        <w:tc>
          <w:tcPr>
            <w:tcW w:w="1106" w:type="dxa"/>
            <w:vAlign w:val="center"/>
          </w:tcPr>
          <w:p w14:paraId="58F39975">
            <w:pPr>
              <w:suppressAutoHyphens/>
              <w:spacing w:before="20" w:after="20" w:line="240" w:lineRule="auto"/>
              <w:jc w:val="center"/>
              <w:rPr>
                <w:rFonts w:eastAsia="Times New Roman"/>
                <w:sz w:val="24"/>
                <w:szCs w:val="24"/>
                <w:lang w:val="vi-VN"/>
              </w:rPr>
            </w:pPr>
            <w:r>
              <w:rPr>
                <w:rFonts w:eastAsia="Times New Roman"/>
                <w:sz w:val="24"/>
                <w:szCs w:val="24"/>
              </w:rPr>
              <w:t>2.743,5</w:t>
            </w:r>
          </w:p>
        </w:tc>
        <w:tc>
          <w:tcPr>
            <w:tcW w:w="1100" w:type="dxa"/>
            <w:vAlign w:val="center"/>
          </w:tcPr>
          <w:p w14:paraId="145311CC">
            <w:pPr>
              <w:suppressAutoHyphens/>
              <w:spacing w:before="20" w:after="20" w:line="240" w:lineRule="auto"/>
              <w:jc w:val="center"/>
              <w:rPr>
                <w:rFonts w:eastAsia="Times New Roman"/>
                <w:sz w:val="24"/>
                <w:szCs w:val="24"/>
                <w:lang w:val="vi-VN"/>
              </w:rPr>
            </w:pPr>
            <w:r>
              <w:rPr>
                <w:rFonts w:eastAsia="Times New Roman"/>
                <w:sz w:val="24"/>
                <w:szCs w:val="24"/>
              </w:rPr>
              <w:t>1.233,5</w:t>
            </w:r>
          </w:p>
        </w:tc>
        <w:tc>
          <w:tcPr>
            <w:tcW w:w="1117" w:type="dxa"/>
            <w:vAlign w:val="center"/>
          </w:tcPr>
          <w:p w14:paraId="51DE6EFD">
            <w:pPr>
              <w:suppressAutoHyphens/>
              <w:spacing w:before="20" w:after="20" w:line="240" w:lineRule="auto"/>
              <w:jc w:val="center"/>
              <w:rPr>
                <w:rFonts w:eastAsia="Times New Roman"/>
                <w:sz w:val="24"/>
                <w:szCs w:val="24"/>
                <w:lang w:val="vi-VN"/>
              </w:rPr>
            </w:pPr>
          </w:p>
        </w:tc>
        <w:tc>
          <w:tcPr>
            <w:tcW w:w="1261" w:type="dxa"/>
            <w:vAlign w:val="center"/>
          </w:tcPr>
          <w:p w14:paraId="5D54BC5F">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16CB67E6">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2BC3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66A1D372">
            <w:pPr>
              <w:suppressAutoHyphens/>
              <w:spacing w:before="20" w:after="20" w:line="240" w:lineRule="auto"/>
              <w:jc w:val="center"/>
              <w:rPr>
                <w:rFonts w:eastAsia="Times New Roman"/>
                <w:sz w:val="24"/>
                <w:szCs w:val="24"/>
                <w:lang w:val="vi-VN"/>
              </w:rPr>
            </w:pPr>
          </w:p>
        </w:tc>
        <w:tc>
          <w:tcPr>
            <w:tcW w:w="7403" w:type="dxa"/>
            <w:gridSpan w:val="4"/>
          </w:tcPr>
          <w:p w14:paraId="0A5A4E78">
            <w:pPr>
              <w:spacing w:before="20" w:after="20" w:line="240" w:lineRule="auto"/>
              <w:ind w:right="-27"/>
              <w:rPr>
                <w:rFonts w:eastAsia="Times New Roman"/>
                <w:sz w:val="24"/>
                <w:szCs w:val="24"/>
              </w:rPr>
            </w:pPr>
            <w:r>
              <w:rPr>
                <w:rFonts w:eastAsia="Times New Roman"/>
                <w:b/>
                <w:bCs/>
                <w:sz w:val="24"/>
                <w:szCs w:val="24"/>
              </w:rPr>
              <w:t>TỔNG</w:t>
            </w:r>
            <w:r>
              <w:rPr>
                <w:rFonts w:eastAsia="Times New Roman"/>
                <w:b/>
                <w:bCs/>
                <w:sz w:val="24"/>
                <w:szCs w:val="24"/>
                <w:lang w:val="vi-VN"/>
              </w:rPr>
              <w:t xml:space="preserve"> CỘNG</w:t>
            </w:r>
          </w:p>
        </w:tc>
        <w:tc>
          <w:tcPr>
            <w:tcW w:w="1162" w:type="dxa"/>
          </w:tcPr>
          <w:p w14:paraId="4581012C">
            <w:pPr>
              <w:suppressAutoHyphens/>
              <w:spacing w:before="20" w:after="20" w:line="240" w:lineRule="auto"/>
              <w:jc w:val="center"/>
              <w:rPr>
                <w:rFonts w:eastAsia="Times New Roman"/>
                <w:sz w:val="24"/>
                <w:szCs w:val="24"/>
                <w:lang w:val="vi-VN"/>
              </w:rPr>
            </w:pPr>
            <w:r>
              <w:rPr>
                <w:rFonts w:eastAsia="Times New Roman"/>
                <w:b/>
                <w:sz w:val="24"/>
                <w:szCs w:val="24"/>
              </w:rPr>
              <w:t>25.540</w:t>
            </w:r>
          </w:p>
        </w:tc>
        <w:tc>
          <w:tcPr>
            <w:tcW w:w="1106" w:type="dxa"/>
          </w:tcPr>
          <w:p w14:paraId="0116DBF1">
            <w:pPr>
              <w:suppressAutoHyphens/>
              <w:spacing w:before="20" w:after="20" w:line="240" w:lineRule="auto"/>
              <w:jc w:val="center"/>
              <w:rPr>
                <w:rFonts w:eastAsia="Times New Roman"/>
                <w:sz w:val="24"/>
                <w:szCs w:val="24"/>
                <w:lang w:val="vi-VN"/>
              </w:rPr>
            </w:pPr>
            <w:r>
              <w:rPr>
                <w:rFonts w:eastAsia="Times New Roman"/>
                <w:b/>
                <w:sz w:val="24"/>
                <w:szCs w:val="24"/>
              </w:rPr>
              <w:t>10.536,5</w:t>
            </w:r>
          </w:p>
        </w:tc>
        <w:tc>
          <w:tcPr>
            <w:tcW w:w="1100" w:type="dxa"/>
          </w:tcPr>
          <w:p w14:paraId="65004FB1">
            <w:pPr>
              <w:suppressAutoHyphens/>
              <w:spacing w:before="20" w:after="20" w:line="240" w:lineRule="auto"/>
              <w:jc w:val="center"/>
              <w:rPr>
                <w:rFonts w:eastAsia="Times New Roman"/>
                <w:sz w:val="24"/>
                <w:szCs w:val="24"/>
              </w:rPr>
            </w:pPr>
            <w:r>
              <w:rPr>
                <w:rFonts w:eastAsia="Times New Roman"/>
                <w:b/>
                <w:sz w:val="24"/>
                <w:szCs w:val="24"/>
              </w:rPr>
              <w:t>2.233,5</w:t>
            </w:r>
          </w:p>
        </w:tc>
        <w:tc>
          <w:tcPr>
            <w:tcW w:w="1117" w:type="dxa"/>
          </w:tcPr>
          <w:p w14:paraId="57FE1A68">
            <w:pPr>
              <w:suppressAutoHyphens/>
              <w:spacing w:before="20" w:after="20" w:line="240" w:lineRule="auto"/>
              <w:jc w:val="center"/>
              <w:rPr>
                <w:rFonts w:eastAsia="Times New Roman"/>
                <w:sz w:val="24"/>
                <w:szCs w:val="24"/>
                <w:lang w:val="vi-VN"/>
              </w:rPr>
            </w:pPr>
            <w:r>
              <w:rPr>
                <w:rFonts w:eastAsia="Times New Roman"/>
                <w:b/>
                <w:sz w:val="24"/>
                <w:szCs w:val="24"/>
                <w:lang w:val="vi-VN"/>
              </w:rPr>
              <w:t>12.770</w:t>
            </w:r>
          </w:p>
        </w:tc>
        <w:tc>
          <w:tcPr>
            <w:tcW w:w="1261" w:type="dxa"/>
          </w:tcPr>
          <w:p w14:paraId="4A47FCAB">
            <w:pPr>
              <w:suppressAutoHyphens/>
              <w:spacing w:before="20" w:after="20" w:line="240" w:lineRule="auto"/>
              <w:jc w:val="center"/>
              <w:rPr>
                <w:rFonts w:eastAsia="Times New Roman"/>
                <w:sz w:val="24"/>
                <w:szCs w:val="24"/>
                <w:lang w:val="vi-VN"/>
              </w:rPr>
            </w:pPr>
          </w:p>
        </w:tc>
        <w:tc>
          <w:tcPr>
            <w:tcW w:w="1526" w:type="dxa"/>
          </w:tcPr>
          <w:p w14:paraId="46B513BF">
            <w:pPr>
              <w:suppressAutoHyphens/>
              <w:spacing w:before="20" w:after="20" w:line="240" w:lineRule="auto"/>
              <w:jc w:val="center"/>
              <w:rPr>
                <w:rFonts w:eastAsia="Times New Roman"/>
                <w:sz w:val="24"/>
                <w:szCs w:val="24"/>
                <w:lang w:val="vi-VN"/>
              </w:rPr>
            </w:pPr>
          </w:p>
        </w:tc>
      </w:tr>
    </w:tbl>
    <w:p w14:paraId="3076F0EA">
      <w:pPr>
        <w:spacing w:before="0" w:after="0"/>
        <w:rPr>
          <w:rFonts w:asciiTheme="minorHAnsi" w:hAnsiTheme="minorHAnsi"/>
          <w:b/>
          <w:bCs/>
          <w:spacing w:val="-2"/>
        </w:rPr>
      </w:pPr>
    </w:p>
    <w:sectPr>
      <w:endnotePr>
        <w:numFmt w:val="decimal"/>
      </w:endnotePr>
      <w:pgSz w:w="16840" w:h="11907" w:orient="landscape"/>
      <w:pgMar w:top="1134" w:right="1134" w:bottom="1134" w:left="1701" w:header="454" w:footer="510"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Times New Roman Italic">
    <w:altName w:val="Times New Roman"/>
    <w:panose1 w:val="02020503050405090304"/>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380812"/>
      <w:docPartObj>
        <w:docPartGallery w:val="AutoText"/>
      </w:docPartObj>
    </w:sdtPr>
    <w:sdtEndPr>
      <w:rPr>
        <w:sz w:val="26"/>
        <w:szCs w:val="26"/>
      </w:rPr>
    </w:sdtEndPr>
    <w:sdtContent>
      <w:p w14:paraId="58E85392">
        <w:pPr>
          <w:pStyle w:val="24"/>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63DAEFF6">
    <w:pPr>
      <w:pStyle w:val="24"/>
      <w:widowControl w:val="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C6FB">
    <w:pPr>
      <w:pStyle w:val="24"/>
    </w:pPr>
  </w:p>
  <w:p w14:paraId="6E69531D">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43210"/>
    <w:multiLevelType w:val="multilevel"/>
    <w:tmpl w:val="21B43210"/>
    <w:lvl w:ilvl="0" w:tentative="0">
      <w:start w:val="1"/>
      <w:numFmt w:val="decimal"/>
      <w:pStyle w:val="2"/>
      <w:lvlText w:val="%1."/>
      <w:lvlJc w:val="left"/>
      <w:pPr>
        <w:ind w:left="3835" w:hanging="432"/>
      </w:pPr>
      <w:rPr>
        <w:rFonts w:hint="default" w:ascii="Times New Roman Bold" w:hAnsi="Times New Roman Bold"/>
        <w:b/>
        <w:i w:val="0"/>
        <w:caps/>
        <w:sz w:val="28"/>
        <w:szCs w:val="28"/>
      </w:rPr>
    </w:lvl>
    <w:lvl w:ilvl="1" w:tentative="0">
      <w:start w:val="1"/>
      <w:numFmt w:val="decimal"/>
      <w:pStyle w:val="3"/>
      <w:lvlText w:val="%1.%2."/>
      <w:lvlJc w:val="left"/>
      <w:pPr>
        <w:ind w:left="6247" w:hanging="576"/>
      </w:pPr>
      <w:rPr>
        <w:rFonts w:hint="default"/>
        <w:b/>
      </w:rPr>
    </w:lvl>
    <w:lvl w:ilvl="2" w:tentative="0">
      <w:start w:val="1"/>
      <w:numFmt w:val="decimal"/>
      <w:pStyle w:val="4"/>
      <w:lvlText w:val="%1.%2.%3."/>
      <w:lvlJc w:val="left"/>
      <w:pPr>
        <w:ind w:left="2421" w:hanging="720"/>
      </w:pPr>
      <w:rPr>
        <w:rFonts w:hint="default"/>
        <w:i/>
        <w:color w:val="auto"/>
      </w:rPr>
    </w:lvl>
    <w:lvl w:ilvl="3" w:tentative="0">
      <w:start w:val="1"/>
      <w:numFmt w:val="decimal"/>
      <w:lvlText w:val="%1.%2.%3.%4"/>
      <w:lvlJc w:val="left"/>
      <w:pPr>
        <w:ind w:left="2565" w:hanging="864"/>
      </w:pPr>
      <w:rPr>
        <w:rFonts w:hint="default"/>
      </w:rPr>
    </w:lvl>
    <w:lvl w:ilvl="4" w:tentative="0">
      <w:start w:val="1"/>
      <w:numFmt w:val="decimal"/>
      <w:pStyle w:val="5"/>
      <w:lvlText w:val="%1.%2.%3.%4.%5"/>
      <w:lvlJc w:val="left"/>
      <w:pPr>
        <w:ind w:left="2709" w:hanging="1008"/>
      </w:pPr>
      <w:rPr>
        <w:rFonts w:hint="default"/>
      </w:rPr>
    </w:lvl>
    <w:lvl w:ilvl="5" w:tentative="0">
      <w:start w:val="1"/>
      <w:numFmt w:val="decimal"/>
      <w:pStyle w:val="6"/>
      <w:lvlText w:val="%1.%2.%3.%4.%5.%6"/>
      <w:lvlJc w:val="left"/>
      <w:pPr>
        <w:ind w:left="2853" w:hanging="1152"/>
      </w:pPr>
      <w:rPr>
        <w:rFonts w:hint="default"/>
      </w:rPr>
    </w:lvl>
    <w:lvl w:ilvl="6" w:tentative="0">
      <w:start w:val="1"/>
      <w:numFmt w:val="decimal"/>
      <w:pStyle w:val="7"/>
      <w:lvlText w:val="%1.%2.%3.%4.%5.%6.%7"/>
      <w:lvlJc w:val="left"/>
      <w:pPr>
        <w:ind w:left="2997" w:hanging="1296"/>
      </w:pPr>
      <w:rPr>
        <w:rFonts w:hint="default"/>
      </w:rPr>
    </w:lvl>
    <w:lvl w:ilvl="7" w:tentative="0">
      <w:start w:val="1"/>
      <w:numFmt w:val="decimal"/>
      <w:pStyle w:val="8"/>
      <w:lvlText w:val="%1.%2.%3.%4.%5.%6.%7.%8"/>
      <w:lvlJc w:val="left"/>
      <w:pPr>
        <w:ind w:left="3141" w:hanging="1440"/>
      </w:pPr>
      <w:rPr>
        <w:rFonts w:hint="default"/>
      </w:rPr>
    </w:lvl>
    <w:lvl w:ilvl="8" w:tentative="0">
      <w:start w:val="1"/>
      <w:numFmt w:val="decimal"/>
      <w:pStyle w:val="9"/>
      <w:lvlText w:val="%1.%2.%3.%4.%5.%6.%7.%8.%9"/>
      <w:lvlJc w:val="left"/>
      <w:pPr>
        <w:ind w:left="3285"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20"/>
    <w:rsid w:val="000013CF"/>
    <w:rsid w:val="00001FC8"/>
    <w:rsid w:val="00004CD4"/>
    <w:rsid w:val="0000512D"/>
    <w:rsid w:val="00006151"/>
    <w:rsid w:val="00006E3F"/>
    <w:rsid w:val="000132DE"/>
    <w:rsid w:val="000134F3"/>
    <w:rsid w:val="00013B8E"/>
    <w:rsid w:val="00014663"/>
    <w:rsid w:val="00015B58"/>
    <w:rsid w:val="00016B76"/>
    <w:rsid w:val="00017BE5"/>
    <w:rsid w:val="00020843"/>
    <w:rsid w:val="00020F72"/>
    <w:rsid w:val="0002396B"/>
    <w:rsid w:val="00025300"/>
    <w:rsid w:val="000309B6"/>
    <w:rsid w:val="00030B9B"/>
    <w:rsid w:val="00032AED"/>
    <w:rsid w:val="00035509"/>
    <w:rsid w:val="00035E6A"/>
    <w:rsid w:val="00036325"/>
    <w:rsid w:val="00036A30"/>
    <w:rsid w:val="000435C6"/>
    <w:rsid w:val="00044512"/>
    <w:rsid w:val="00046BE2"/>
    <w:rsid w:val="000477FC"/>
    <w:rsid w:val="00047995"/>
    <w:rsid w:val="00050E88"/>
    <w:rsid w:val="0005240B"/>
    <w:rsid w:val="000526DF"/>
    <w:rsid w:val="00052D7F"/>
    <w:rsid w:val="00054A1E"/>
    <w:rsid w:val="0005518D"/>
    <w:rsid w:val="00055570"/>
    <w:rsid w:val="000555A7"/>
    <w:rsid w:val="00055ACE"/>
    <w:rsid w:val="00056859"/>
    <w:rsid w:val="00057064"/>
    <w:rsid w:val="00057C6D"/>
    <w:rsid w:val="00057FB7"/>
    <w:rsid w:val="0006018D"/>
    <w:rsid w:val="00060C39"/>
    <w:rsid w:val="00061AA6"/>
    <w:rsid w:val="00062136"/>
    <w:rsid w:val="00062A7F"/>
    <w:rsid w:val="00062DA8"/>
    <w:rsid w:val="00063965"/>
    <w:rsid w:val="00066595"/>
    <w:rsid w:val="00070F7A"/>
    <w:rsid w:val="0007240C"/>
    <w:rsid w:val="00072A4E"/>
    <w:rsid w:val="000741EF"/>
    <w:rsid w:val="00074916"/>
    <w:rsid w:val="00076C70"/>
    <w:rsid w:val="00076F6F"/>
    <w:rsid w:val="0007705C"/>
    <w:rsid w:val="00080F5E"/>
    <w:rsid w:val="000817DF"/>
    <w:rsid w:val="0008306A"/>
    <w:rsid w:val="000845A6"/>
    <w:rsid w:val="00085026"/>
    <w:rsid w:val="00090AF7"/>
    <w:rsid w:val="00091F8B"/>
    <w:rsid w:val="00095A68"/>
    <w:rsid w:val="0009769E"/>
    <w:rsid w:val="0009785F"/>
    <w:rsid w:val="00097D9E"/>
    <w:rsid w:val="000A0BB2"/>
    <w:rsid w:val="000A1C62"/>
    <w:rsid w:val="000A42DA"/>
    <w:rsid w:val="000A6216"/>
    <w:rsid w:val="000A6755"/>
    <w:rsid w:val="000B02D6"/>
    <w:rsid w:val="000B177D"/>
    <w:rsid w:val="000B1FAB"/>
    <w:rsid w:val="000B39DD"/>
    <w:rsid w:val="000B5D2B"/>
    <w:rsid w:val="000B6F3B"/>
    <w:rsid w:val="000B7B26"/>
    <w:rsid w:val="000C0BF6"/>
    <w:rsid w:val="000C1799"/>
    <w:rsid w:val="000C18CF"/>
    <w:rsid w:val="000C18FD"/>
    <w:rsid w:val="000C1A7E"/>
    <w:rsid w:val="000C30E2"/>
    <w:rsid w:val="000C3D94"/>
    <w:rsid w:val="000C4E67"/>
    <w:rsid w:val="000C6C53"/>
    <w:rsid w:val="000C6CA7"/>
    <w:rsid w:val="000C741B"/>
    <w:rsid w:val="000D2DBA"/>
    <w:rsid w:val="000D53B1"/>
    <w:rsid w:val="000D6043"/>
    <w:rsid w:val="000D61BC"/>
    <w:rsid w:val="000E0FB9"/>
    <w:rsid w:val="000E1338"/>
    <w:rsid w:val="000E5D81"/>
    <w:rsid w:val="000E6819"/>
    <w:rsid w:val="000E70A2"/>
    <w:rsid w:val="000F0B86"/>
    <w:rsid w:val="000F16A1"/>
    <w:rsid w:val="000F1700"/>
    <w:rsid w:val="000F1E84"/>
    <w:rsid w:val="000F205B"/>
    <w:rsid w:val="000F2239"/>
    <w:rsid w:val="000F2733"/>
    <w:rsid w:val="000F2A04"/>
    <w:rsid w:val="000F5075"/>
    <w:rsid w:val="000F5FA0"/>
    <w:rsid w:val="000F5FB3"/>
    <w:rsid w:val="000F7424"/>
    <w:rsid w:val="0010119B"/>
    <w:rsid w:val="00102A84"/>
    <w:rsid w:val="00103309"/>
    <w:rsid w:val="001036DF"/>
    <w:rsid w:val="001036ED"/>
    <w:rsid w:val="0010439F"/>
    <w:rsid w:val="00105414"/>
    <w:rsid w:val="00106F3E"/>
    <w:rsid w:val="00110D01"/>
    <w:rsid w:val="0011153C"/>
    <w:rsid w:val="00112C2B"/>
    <w:rsid w:val="001131B3"/>
    <w:rsid w:val="001144C3"/>
    <w:rsid w:val="00114A44"/>
    <w:rsid w:val="001150D3"/>
    <w:rsid w:val="0011511D"/>
    <w:rsid w:val="00116171"/>
    <w:rsid w:val="00116C4C"/>
    <w:rsid w:val="00117812"/>
    <w:rsid w:val="00117C97"/>
    <w:rsid w:val="00121E9D"/>
    <w:rsid w:val="00121ECB"/>
    <w:rsid w:val="00124674"/>
    <w:rsid w:val="00124B0B"/>
    <w:rsid w:val="00126213"/>
    <w:rsid w:val="00130AD7"/>
    <w:rsid w:val="0013223E"/>
    <w:rsid w:val="0013329B"/>
    <w:rsid w:val="0013544C"/>
    <w:rsid w:val="00136245"/>
    <w:rsid w:val="00136645"/>
    <w:rsid w:val="00140E48"/>
    <w:rsid w:val="0014100F"/>
    <w:rsid w:val="00141526"/>
    <w:rsid w:val="0014179F"/>
    <w:rsid w:val="00142BBC"/>
    <w:rsid w:val="0014390B"/>
    <w:rsid w:val="0014474E"/>
    <w:rsid w:val="00146CA5"/>
    <w:rsid w:val="001470A4"/>
    <w:rsid w:val="0015128A"/>
    <w:rsid w:val="00153FFB"/>
    <w:rsid w:val="001559D4"/>
    <w:rsid w:val="00156945"/>
    <w:rsid w:val="001577B6"/>
    <w:rsid w:val="001606D3"/>
    <w:rsid w:val="00162678"/>
    <w:rsid w:val="001650EB"/>
    <w:rsid w:val="001660B2"/>
    <w:rsid w:val="00166448"/>
    <w:rsid w:val="0016688E"/>
    <w:rsid w:val="00170BF0"/>
    <w:rsid w:val="001723E0"/>
    <w:rsid w:val="00175C54"/>
    <w:rsid w:val="00176A5B"/>
    <w:rsid w:val="001771FA"/>
    <w:rsid w:val="00180516"/>
    <w:rsid w:val="001807CF"/>
    <w:rsid w:val="00182BE6"/>
    <w:rsid w:val="00183AC3"/>
    <w:rsid w:val="00184927"/>
    <w:rsid w:val="00184D5A"/>
    <w:rsid w:val="00186587"/>
    <w:rsid w:val="00187101"/>
    <w:rsid w:val="00187C41"/>
    <w:rsid w:val="00187CA7"/>
    <w:rsid w:val="0019085F"/>
    <w:rsid w:val="00190E9D"/>
    <w:rsid w:val="001919EB"/>
    <w:rsid w:val="00194EBD"/>
    <w:rsid w:val="0019659A"/>
    <w:rsid w:val="00196C8B"/>
    <w:rsid w:val="001979E7"/>
    <w:rsid w:val="001A218F"/>
    <w:rsid w:val="001A2838"/>
    <w:rsid w:val="001A5D45"/>
    <w:rsid w:val="001A7921"/>
    <w:rsid w:val="001B0756"/>
    <w:rsid w:val="001B09BE"/>
    <w:rsid w:val="001B0C2D"/>
    <w:rsid w:val="001B1EFD"/>
    <w:rsid w:val="001B273E"/>
    <w:rsid w:val="001B41A8"/>
    <w:rsid w:val="001B52D2"/>
    <w:rsid w:val="001B64AF"/>
    <w:rsid w:val="001C10EF"/>
    <w:rsid w:val="001C133F"/>
    <w:rsid w:val="001C19FB"/>
    <w:rsid w:val="001C2F69"/>
    <w:rsid w:val="001C3043"/>
    <w:rsid w:val="001C322F"/>
    <w:rsid w:val="001C361F"/>
    <w:rsid w:val="001C3BE0"/>
    <w:rsid w:val="001C42D2"/>
    <w:rsid w:val="001C73D1"/>
    <w:rsid w:val="001D0535"/>
    <w:rsid w:val="001D0C2B"/>
    <w:rsid w:val="001D16EB"/>
    <w:rsid w:val="001D2D1C"/>
    <w:rsid w:val="001D3A05"/>
    <w:rsid w:val="001D4B88"/>
    <w:rsid w:val="001D4DFB"/>
    <w:rsid w:val="001D4E17"/>
    <w:rsid w:val="001D70F6"/>
    <w:rsid w:val="001D7270"/>
    <w:rsid w:val="001D7406"/>
    <w:rsid w:val="001D76EB"/>
    <w:rsid w:val="001E0746"/>
    <w:rsid w:val="001E2387"/>
    <w:rsid w:val="001E62B5"/>
    <w:rsid w:val="001E7677"/>
    <w:rsid w:val="001E76A9"/>
    <w:rsid w:val="001E7714"/>
    <w:rsid w:val="001E7B77"/>
    <w:rsid w:val="001F06CF"/>
    <w:rsid w:val="001F2495"/>
    <w:rsid w:val="001F37B9"/>
    <w:rsid w:val="001F4325"/>
    <w:rsid w:val="001F59B4"/>
    <w:rsid w:val="001F59F6"/>
    <w:rsid w:val="0020011A"/>
    <w:rsid w:val="002022AB"/>
    <w:rsid w:val="00202473"/>
    <w:rsid w:val="00206070"/>
    <w:rsid w:val="002060D7"/>
    <w:rsid w:val="00206B39"/>
    <w:rsid w:val="002135B5"/>
    <w:rsid w:val="00215A20"/>
    <w:rsid w:val="00216582"/>
    <w:rsid w:val="00217E2E"/>
    <w:rsid w:val="002214DD"/>
    <w:rsid w:val="00221B2A"/>
    <w:rsid w:val="0022380A"/>
    <w:rsid w:val="00224EBB"/>
    <w:rsid w:val="002251A6"/>
    <w:rsid w:val="00225FC3"/>
    <w:rsid w:val="002301B0"/>
    <w:rsid w:val="002329F7"/>
    <w:rsid w:val="0023343B"/>
    <w:rsid w:val="00234604"/>
    <w:rsid w:val="00234D0C"/>
    <w:rsid w:val="00236CFB"/>
    <w:rsid w:val="00240768"/>
    <w:rsid w:val="0024118D"/>
    <w:rsid w:val="002417FF"/>
    <w:rsid w:val="002419E6"/>
    <w:rsid w:val="002449A3"/>
    <w:rsid w:val="00245E05"/>
    <w:rsid w:val="002464DC"/>
    <w:rsid w:val="002507EC"/>
    <w:rsid w:val="0025224E"/>
    <w:rsid w:val="00252579"/>
    <w:rsid w:val="00254007"/>
    <w:rsid w:val="002545ED"/>
    <w:rsid w:val="00254919"/>
    <w:rsid w:val="002554D3"/>
    <w:rsid w:val="0025551B"/>
    <w:rsid w:val="00256FC8"/>
    <w:rsid w:val="0025731A"/>
    <w:rsid w:val="00262871"/>
    <w:rsid w:val="002630F3"/>
    <w:rsid w:val="00263437"/>
    <w:rsid w:val="00264BC0"/>
    <w:rsid w:val="00264FC6"/>
    <w:rsid w:val="00265887"/>
    <w:rsid w:val="002662F3"/>
    <w:rsid w:val="00267CFE"/>
    <w:rsid w:val="002708B2"/>
    <w:rsid w:val="00270FF6"/>
    <w:rsid w:val="00271370"/>
    <w:rsid w:val="00272358"/>
    <w:rsid w:val="00273841"/>
    <w:rsid w:val="00276462"/>
    <w:rsid w:val="002772DB"/>
    <w:rsid w:val="0028174F"/>
    <w:rsid w:val="002844B5"/>
    <w:rsid w:val="0028557F"/>
    <w:rsid w:val="00286388"/>
    <w:rsid w:val="00287A3B"/>
    <w:rsid w:val="00287EC1"/>
    <w:rsid w:val="00294E55"/>
    <w:rsid w:val="0029778F"/>
    <w:rsid w:val="00297F5E"/>
    <w:rsid w:val="002A2B5F"/>
    <w:rsid w:val="002A57E6"/>
    <w:rsid w:val="002B0A9B"/>
    <w:rsid w:val="002B0FB1"/>
    <w:rsid w:val="002B201F"/>
    <w:rsid w:val="002B229A"/>
    <w:rsid w:val="002B5175"/>
    <w:rsid w:val="002C0180"/>
    <w:rsid w:val="002C4556"/>
    <w:rsid w:val="002C59B1"/>
    <w:rsid w:val="002C7A9A"/>
    <w:rsid w:val="002C7BFB"/>
    <w:rsid w:val="002D0A04"/>
    <w:rsid w:val="002D0D99"/>
    <w:rsid w:val="002D2A69"/>
    <w:rsid w:val="002D2F21"/>
    <w:rsid w:val="002D3EB8"/>
    <w:rsid w:val="002D427F"/>
    <w:rsid w:val="002D43B2"/>
    <w:rsid w:val="002D5113"/>
    <w:rsid w:val="002D7515"/>
    <w:rsid w:val="002E04C8"/>
    <w:rsid w:val="002E199B"/>
    <w:rsid w:val="002E2080"/>
    <w:rsid w:val="002E3F6B"/>
    <w:rsid w:val="002E63BB"/>
    <w:rsid w:val="002E74BE"/>
    <w:rsid w:val="002F0031"/>
    <w:rsid w:val="002F228E"/>
    <w:rsid w:val="002F22C0"/>
    <w:rsid w:val="002F3E9E"/>
    <w:rsid w:val="002F4526"/>
    <w:rsid w:val="002F4780"/>
    <w:rsid w:val="002F568B"/>
    <w:rsid w:val="002F5EBF"/>
    <w:rsid w:val="002F7515"/>
    <w:rsid w:val="002F75EF"/>
    <w:rsid w:val="002F7A1F"/>
    <w:rsid w:val="0030058A"/>
    <w:rsid w:val="003007F4"/>
    <w:rsid w:val="00302066"/>
    <w:rsid w:val="00302524"/>
    <w:rsid w:val="003027F4"/>
    <w:rsid w:val="00302ED4"/>
    <w:rsid w:val="00303B71"/>
    <w:rsid w:val="00303B91"/>
    <w:rsid w:val="00303D3C"/>
    <w:rsid w:val="00303D4F"/>
    <w:rsid w:val="00303F14"/>
    <w:rsid w:val="00307B71"/>
    <w:rsid w:val="00307D7C"/>
    <w:rsid w:val="003102B1"/>
    <w:rsid w:val="00311FFC"/>
    <w:rsid w:val="003124C5"/>
    <w:rsid w:val="0031375D"/>
    <w:rsid w:val="00313CE4"/>
    <w:rsid w:val="00315AEC"/>
    <w:rsid w:val="003173AC"/>
    <w:rsid w:val="00317A24"/>
    <w:rsid w:val="0032015E"/>
    <w:rsid w:val="003203E0"/>
    <w:rsid w:val="0032064F"/>
    <w:rsid w:val="0032163E"/>
    <w:rsid w:val="003220B7"/>
    <w:rsid w:val="003227E6"/>
    <w:rsid w:val="00323BB9"/>
    <w:rsid w:val="0032585E"/>
    <w:rsid w:val="00325EE3"/>
    <w:rsid w:val="003268B8"/>
    <w:rsid w:val="003269F6"/>
    <w:rsid w:val="00326C3C"/>
    <w:rsid w:val="003277C5"/>
    <w:rsid w:val="00331AE3"/>
    <w:rsid w:val="00332A08"/>
    <w:rsid w:val="00332E3E"/>
    <w:rsid w:val="003336E6"/>
    <w:rsid w:val="003337F6"/>
    <w:rsid w:val="00333859"/>
    <w:rsid w:val="00334F38"/>
    <w:rsid w:val="00335E60"/>
    <w:rsid w:val="003423D7"/>
    <w:rsid w:val="00342A17"/>
    <w:rsid w:val="00342BCA"/>
    <w:rsid w:val="00344920"/>
    <w:rsid w:val="003470F5"/>
    <w:rsid w:val="0034760F"/>
    <w:rsid w:val="00351A6B"/>
    <w:rsid w:val="00351DB1"/>
    <w:rsid w:val="00351F9E"/>
    <w:rsid w:val="00354125"/>
    <w:rsid w:val="00354355"/>
    <w:rsid w:val="0035506B"/>
    <w:rsid w:val="003570CA"/>
    <w:rsid w:val="00362723"/>
    <w:rsid w:val="00364A1D"/>
    <w:rsid w:val="0036575A"/>
    <w:rsid w:val="003669AD"/>
    <w:rsid w:val="00367650"/>
    <w:rsid w:val="003726C0"/>
    <w:rsid w:val="00372AA7"/>
    <w:rsid w:val="00373307"/>
    <w:rsid w:val="00374978"/>
    <w:rsid w:val="00374D34"/>
    <w:rsid w:val="00375593"/>
    <w:rsid w:val="00375B34"/>
    <w:rsid w:val="0037629D"/>
    <w:rsid w:val="00376E7F"/>
    <w:rsid w:val="003772A7"/>
    <w:rsid w:val="00380C5A"/>
    <w:rsid w:val="00380F77"/>
    <w:rsid w:val="0038159A"/>
    <w:rsid w:val="00382BFA"/>
    <w:rsid w:val="00384CC1"/>
    <w:rsid w:val="0038537A"/>
    <w:rsid w:val="00390243"/>
    <w:rsid w:val="00390AB5"/>
    <w:rsid w:val="00390CB1"/>
    <w:rsid w:val="003919F8"/>
    <w:rsid w:val="00392E6F"/>
    <w:rsid w:val="003931C0"/>
    <w:rsid w:val="00395897"/>
    <w:rsid w:val="00396739"/>
    <w:rsid w:val="00396C28"/>
    <w:rsid w:val="00397812"/>
    <w:rsid w:val="003A2D65"/>
    <w:rsid w:val="003A524A"/>
    <w:rsid w:val="003A75D2"/>
    <w:rsid w:val="003A7AF7"/>
    <w:rsid w:val="003B2244"/>
    <w:rsid w:val="003B2816"/>
    <w:rsid w:val="003B3FFD"/>
    <w:rsid w:val="003B594A"/>
    <w:rsid w:val="003B681A"/>
    <w:rsid w:val="003B7EDD"/>
    <w:rsid w:val="003C0172"/>
    <w:rsid w:val="003C0508"/>
    <w:rsid w:val="003C1759"/>
    <w:rsid w:val="003C2346"/>
    <w:rsid w:val="003C2838"/>
    <w:rsid w:val="003C32C0"/>
    <w:rsid w:val="003C3C38"/>
    <w:rsid w:val="003C4EB3"/>
    <w:rsid w:val="003C5885"/>
    <w:rsid w:val="003C691F"/>
    <w:rsid w:val="003C7FE7"/>
    <w:rsid w:val="003D0072"/>
    <w:rsid w:val="003D11A4"/>
    <w:rsid w:val="003D2E06"/>
    <w:rsid w:val="003D34AE"/>
    <w:rsid w:val="003D3DAC"/>
    <w:rsid w:val="003D5290"/>
    <w:rsid w:val="003D52E2"/>
    <w:rsid w:val="003D58A5"/>
    <w:rsid w:val="003D65E2"/>
    <w:rsid w:val="003D6F12"/>
    <w:rsid w:val="003E07C7"/>
    <w:rsid w:val="003E13FD"/>
    <w:rsid w:val="003E2264"/>
    <w:rsid w:val="003E263A"/>
    <w:rsid w:val="003E47A9"/>
    <w:rsid w:val="003E4E9E"/>
    <w:rsid w:val="003E6836"/>
    <w:rsid w:val="003E7497"/>
    <w:rsid w:val="003F000D"/>
    <w:rsid w:val="003F0F8C"/>
    <w:rsid w:val="003F2AA2"/>
    <w:rsid w:val="003F302B"/>
    <w:rsid w:val="003F3142"/>
    <w:rsid w:val="003F478E"/>
    <w:rsid w:val="003F4D31"/>
    <w:rsid w:val="003F6179"/>
    <w:rsid w:val="00400C68"/>
    <w:rsid w:val="004017B4"/>
    <w:rsid w:val="00403C25"/>
    <w:rsid w:val="00404083"/>
    <w:rsid w:val="0040428B"/>
    <w:rsid w:val="00404DCB"/>
    <w:rsid w:val="00406562"/>
    <w:rsid w:val="004129D0"/>
    <w:rsid w:val="00413A9D"/>
    <w:rsid w:val="00413BE0"/>
    <w:rsid w:val="00414F8C"/>
    <w:rsid w:val="00415EBD"/>
    <w:rsid w:val="004200B4"/>
    <w:rsid w:val="00422013"/>
    <w:rsid w:val="00422E39"/>
    <w:rsid w:val="00423C1C"/>
    <w:rsid w:val="00423CD2"/>
    <w:rsid w:val="00424B8A"/>
    <w:rsid w:val="0042600E"/>
    <w:rsid w:val="00426237"/>
    <w:rsid w:val="00427456"/>
    <w:rsid w:val="00430EDA"/>
    <w:rsid w:val="004323BB"/>
    <w:rsid w:val="0043253D"/>
    <w:rsid w:val="00434A20"/>
    <w:rsid w:val="00435EAC"/>
    <w:rsid w:val="00436233"/>
    <w:rsid w:val="00437C9E"/>
    <w:rsid w:val="00437E38"/>
    <w:rsid w:val="00440D2A"/>
    <w:rsid w:val="0044201D"/>
    <w:rsid w:val="0044261D"/>
    <w:rsid w:val="00442C74"/>
    <w:rsid w:val="004430F7"/>
    <w:rsid w:val="004437A5"/>
    <w:rsid w:val="00443E9D"/>
    <w:rsid w:val="00444714"/>
    <w:rsid w:val="00444D4E"/>
    <w:rsid w:val="004468EF"/>
    <w:rsid w:val="00446DE7"/>
    <w:rsid w:val="00447C2F"/>
    <w:rsid w:val="00447E8A"/>
    <w:rsid w:val="004503F0"/>
    <w:rsid w:val="00450CAA"/>
    <w:rsid w:val="004528C1"/>
    <w:rsid w:val="0045305B"/>
    <w:rsid w:val="0045751A"/>
    <w:rsid w:val="004603FD"/>
    <w:rsid w:val="00460547"/>
    <w:rsid w:val="00460B69"/>
    <w:rsid w:val="00461D7E"/>
    <w:rsid w:val="00462C2F"/>
    <w:rsid w:val="00463022"/>
    <w:rsid w:val="00464FBE"/>
    <w:rsid w:val="0046507F"/>
    <w:rsid w:val="0046570B"/>
    <w:rsid w:val="00467434"/>
    <w:rsid w:val="0047097D"/>
    <w:rsid w:val="00470E64"/>
    <w:rsid w:val="00472ED1"/>
    <w:rsid w:val="00473772"/>
    <w:rsid w:val="004749AE"/>
    <w:rsid w:val="00476DD8"/>
    <w:rsid w:val="004771D4"/>
    <w:rsid w:val="00481483"/>
    <w:rsid w:val="004817F6"/>
    <w:rsid w:val="00481892"/>
    <w:rsid w:val="00481E14"/>
    <w:rsid w:val="004826D8"/>
    <w:rsid w:val="0048325F"/>
    <w:rsid w:val="00483554"/>
    <w:rsid w:val="00484620"/>
    <w:rsid w:val="0048592D"/>
    <w:rsid w:val="00486370"/>
    <w:rsid w:val="0048692A"/>
    <w:rsid w:val="0049005A"/>
    <w:rsid w:val="00490495"/>
    <w:rsid w:val="004904E8"/>
    <w:rsid w:val="00490D89"/>
    <w:rsid w:val="00490E45"/>
    <w:rsid w:val="00492020"/>
    <w:rsid w:val="00493027"/>
    <w:rsid w:val="00493496"/>
    <w:rsid w:val="00494FE8"/>
    <w:rsid w:val="004963DC"/>
    <w:rsid w:val="00496A8A"/>
    <w:rsid w:val="0049799C"/>
    <w:rsid w:val="004A0B6E"/>
    <w:rsid w:val="004A0CA6"/>
    <w:rsid w:val="004A28D3"/>
    <w:rsid w:val="004A2F5D"/>
    <w:rsid w:val="004A4974"/>
    <w:rsid w:val="004A63C7"/>
    <w:rsid w:val="004B219D"/>
    <w:rsid w:val="004B22B6"/>
    <w:rsid w:val="004B36B0"/>
    <w:rsid w:val="004B6207"/>
    <w:rsid w:val="004B64F4"/>
    <w:rsid w:val="004B6AE9"/>
    <w:rsid w:val="004C124D"/>
    <w:rsid w:val="004C2B3F"/>
    <w:rsid w:val="004C2EA5"/>
    <w:rsid w:val="004C375E"/>
    <w:rsid w:val="004C3BCB"/>
    <w:rsid w:val="004C584F"/>
    <w:rsid w:val="004C603C"/>
    <w:rsid w:val="004C643E"/>
    <w:rsid w:val="004C6E04"/>
    <w:rsid w:val="004C7B20"/>
    <w:rsid w:val="004D5628"/>
    <w:rsid w:val="004E056D"/>
    <w:rsid w:val="004E1528"/>
    <w:rsid w:val="004E367B"/>
    <w:rsid w:val="004E4385"/>
    <w:rsid w:val="004E511A"/>
    <w:rsid w:val="004E5E0C"/>
    <w:rsid w:val="004F0592"/>
    <w:rsid w:val="004F076F"/>
    <w:rsid w:val="004F0D56"/>
    <w:rsid w:val="004F18C8"/>
    <w:rsid w:val="004F1C96"/>
    <w:rsid w:val="004F27D8"/>
    <w:rsid w:val="004F2FF9"/>
    <w:rsid w:val="004F385D"/>
    <w:rsid w:val="004F3AF3"/>
    <w:rsid w:val="004F4AB8"/>
    <w:rsid w:val="004F4DAF"/>
    <w:rsid w:val="004F5E79"/>
    <w:rsid w:val="004F6383"/>
    <w:rsid w:val="004F7033"/>
    <w:rsid w:val="004F72F7"/>
    <w:rsid w:val="00500B19"/>
    <w:rsid w:val="00501E65"/>
    <w:rsid w:val="0050348B"/>
    <w:rsid w:val="0050381D"/>
    <w:rsid w:val="005047F7"/>
    <w:rsid w:val="00505143"/>
    <w:rsid w:val="00506AA9"/>
    <w:rsid w:val="00506E1F"/>
    <w:rsid w:val="0050719F"/>
    <w:rsid w:val="00512C8A"/>
    <w:rsid w:val="00513094"/>
    <w:rsid w:val="0051348B"/>
    <w:rsid w:val="0051428D"/>
    <w:rsid w:val="00517A6B"/>
    <w:rsid w:val="00517EF3"/>
    <w:rsid w:val="0052013B"/>
    <w:rsid w:val="00520B5B"/>
    <w:rsid w:val="00522857"/>
    <w:rsid w:val="005265D1"/>
    <w:rsid w:val="005268DC"/>
    <w:rsid w:val="00526FC6"/>
    <w:rsid w:val="0052783B"/>
    <w:rsid w:val="00530D6B"/>
    <w:rsid w:val="00531092"/>
    <w:rsid w:val="005319DF"/>
    <w:rsid w:val="00533050"/>
    <w:rsid w:val="00533365"/>
    <w:rsid w:val="00534E79"/>
    <w:rsid w:val="00540BFD"/>
    <w:rsid w:val="005418EE"/>
    <w:rsid w:val="00541D3B"/>
    <w:rsid w:val="00543889"/>
    <w:rsid w:val="00544558"/>
    <w:rsid w:val="005451E8"/>
    <w:rsid w:val="005453D6"/>
    <w:rsid w:val="00545D20"/>
    <w:rsid w:val="00546089"/>
    <w:rsid w:val="00546324"/>
    <w:rsid w:val="00546469"/>
    <w:rsid w:val="00546DCC"/>
    <w:rsid w:val="005510C6"/>
    <w:rsid w:val="00551379"/>
    <w:rsid w:val="00551CB5"/>
    <w:rsid w:val="0055469F"/>
    <w:rsid w:val="0055532A"/>
    <w:rsid w:val="00555F7F"/>
    <w:rsid w:val="0055789B"/>
    <w:rsid w:val="00560A67"/>
    <w:rsid w:val="00561B09"/>
    <w:rsid w:val="00562382"/>
    <w:rsid w:val="00562D93"/>
    <w:rsid w:val="005665BD"/>
    <w:rsid w:val="00567DFD"/>
    <w:rsid w:val="005700BE"/>
    <w:rsid w:val="00570BE6"/>
    <w:rsid w:val="0057219E"/>
    <w:rsid w:val="0057262B"/>
    <w:rsid w:val="0057262C"/>
    <w:rsid w:val="00573B0C"/>
    <w:rsid w:val="005749CB"/>
    <w:rsid w:val="00574A96"/>
    <w:rsid w:val="005755DF"/>
    <w:rsid w:val="00577A20"/>
    <w:rsid w:val="00577C0C"/>
    <w:rsid w:val="00580610"/>
    <w:rsid w:val="00582B4A"/>
    <w:rsid w:val="00583B0C"/>
    <w:rsid w:val="005843CE"/>
    <w:rsid w:val="005845EE"/>
    <w:rsid w:val="00585B26"/>
    <w:rsid w:val="00586D50"/>
    <w:rsid w:val="00587523"/>
    <w:rsid w:val="00587C9C"/>
    <w:rsid w:val="00592DAA"/>
    <w:rsid w:val="0059325F"/>
    <w:rsid w:val="005941FD"/>
    <w:rsid w:val="00594A96"/>
    <w:rsid w:val="005A327F"/>
    <w:rsid w:val="005A3616"/>
    <w:rsid w:val="005A681B"/>
    <w:rsid w:val="005A6D0E"/>
    <w:rsid w:val="005A71C3"/>
    <w:rsid w:val="005B022B"/>
    <w:rsid w:val="005B244D"/>
    <w:rsid w:val="005B55F2"/>
    <w:rsid w:val="005B56B5"/>
    <w:rsid w:val="005B58D3"/>
    <w:rsid w:val="005B626C"/>
    <w:rsid w:val="005B6BDB"/>
    <w:rsid w:val="005B76D3"/>
    <w:rsid w:val="005B7935"/>
    <w:rsid w:val="005B7BB9"/>
    <w:rsid w:val="005B7BE7"/>
    <w:rsid w:val="005C012B"/>
    <w:rsid w:val="005C056E"/>
    <w:rsid w:val="005C07CD"/>
    <w:rsid w:val="005C1128"/>
    <w:rsid w:val="005C1152"/>
    <w:rsid w:val="005C118A"/>
    <w:rsid w:val="005C2559"/>
    <w:rsid w:val="005C44F7"/>
    <w:rsid w:val="005C5FFF"/>
    <w:rsid w:val="005C697A"/>
    <w:rsid w:val="005C6C54"/>
    <w:rsid w:val="005C6F9D"/>
    <w:rsid w:val="005C7A79"/>
    <w:rsid w:val="005D0377"/>
    <w:rsid w:val="005D0452"/>
    <w:rsid w:val="005D0E1A"/>
    <w:rsid w:val="005D0FD4"/>
    <w:rsid w:val="005D1141"/>
    <w:rsid w:val="005D14E8"/>
    <w:rsid w:val="005D1D2B"/>
    <w:rsid w:val="005D2060"/>
    <w:rsid w:val="005D3A65"/>
    <w:rsid w:val="005D463C"/>
    <w:rsid w:val="005D4825"/>
    <w:rsid w:val="005D4D62"/>
    <w:rsid w:val="005D5FD0"/>
    <w:rsid w:val="005D6907"/>
    <w:rsid w:val="005D73B6"/>
    <w:rsid w:val="005E2F48"/>
    <w:rsid w:val="005F22F8"/>
    <w:rsid w:val="005F590C"/>
    <w:rsid w:val="005F5E62"/>
    <w:rsid w:val="005F6A51"/>
    <w:rsid w:val="005F7167"/>
    <w:rsid w:val="005F791A"/>
    <w:rsid w:val="006001D8"/>
    <w:rsid w:val="0060204E"/>
    <w:rsid w:val="00603FC1"/>
    <w:rsid w:val="00604639"/>
    <w:rsid w:val="0060550C"/>
    <w:rsid w:val="00605EA3"/>
    <w:rsid w:val="00606548"/>
    <w:rsid w:val="00607FA0"/>
    <w:rsid w:val="00610933"/>
    <w:rsid w:val="00611250"/>
    <w:rsid w:val="0061157D"/>
    <w:rsid w:val="00611A29"/>
    <w:rsid w:val="00611EB4"/>
    <w:rsid w:val="00612EDB"/>
    <w:rsid w:val="00615CA3"/>
    <w:rsid w:val="00615D1D"/>
    <w:rsid w:val="00615F58"/>
    <w:rsid w:val="0062355D"/>
    <w:rsid w:val="00624B20"/>
    <w:rsid w:val="00624FD5"/>
    <w:rsid w:val="00625564"/>
    <w:rsid w:val="00626F03"/>
    <w:rsid w:val="00631B42"/>
    <w:rsid w:val="00633A84"/>
    <w:rsid w:val="00633B98"/>
    <w:rsid w:val="00635DF9"/>
    <w:rsid w:val="00636F33"/>
    <w:rsid w:val="00637133"/>
    <w:rsid w:val="00637B22"/>
    <w:rsid w:val="00637B69"/>
    <w:rsid w:val="00640455"/>
    <w:rsid w:val="00643AAC"/>
    <w:rsid w:val="006442C3"/>
    <w:rsid w:val="006447F1"/>
    <w:rsid w:val="00646AE9"/>
    <w:rsid w:val="00647032"/>
    <w:rsid w:val="00647FDE"/>
    <w:rsid w:val="006516F6"/>
    <w:rsid w:val="0065222F"/>
    <w:rsid w:val="0065339D"/>
    <w:rsid w:val="00653BC0"/>
    <w:rsid w:val="0065513C"/>
    <w:rsid w:val="00655416"/>
    <w:rsid w:val="00657A3B"/>
    <w:rsid w:val="00660810"/>
    <w:rsid w:val="00660F08"/>
    <w:rsid w:val="0066148A"/>
    <w:rsid w:val="006636FB"/>
    <w:rsid w:val="0066526D"/>
    <w:rsid w:val="0066664F"/>
    <w:rsid w:val="00667A85"/>
    <w:rsid w:val="0067018B"/>
    <w:rsid w:val="00670DB8"/>
    <w:rsid w:val="00671036"/>
    <w:rsid w:val="00671A18"/>
    <w:rsid w:val="006730B9"/>
    <w:rsid w:val="00674E8F"/>
    <w:rsid w:val="006753E2"/>
    <w:rsid w:val="006757E4"/>
    <w:rsid w:val="00675973"/>
    <w:rsid w:val="00675CA8"/>
    <w:rsid w:val="006766D9"/>
    <w:rsid w:val="006778C3"/>
    <w:rsid w:val="00680D6F"/>
    <w:rsid w:val="00682F82"/>
    <w:rsid w:val="00686A62"/>
    <w:rsid w:val="00687B15"/>
    <w:rsid w:val="00690982"/>
    <w:rsid w:val="0069149C"/>
    <w:rsid w:val="00691D8C"/>
    <w:rsid w:val="006933BE"/>
    <w:rsid w:val="00695378"/>
    <w:rsid w:val="006959FF"/>
    <w:rsid w:val="00695DBA"/>
    <w:rsid w:val="00696027"/>
    <w:rsid w:val="00696881"/>
    <w:rsid w:val="0069696E"/>
    <w:rsid w:val="006A09FB"/>
    <w:rsid w:val="006A1617"/>
    <w:rsid w:val="006A1BCF"/>
    <w:rsid w:val="006A1DCD"/>
    <w:rsid w:val="006A327C"/>
    <w:rsid w:val="006A3690"/>
    <w:rsid w:val="006A3AAA"/>
    <w:rsid w:val="006A3EB6"/>
    <w:rsid w:val="006A69BE"/>
    <w:rsid w:val="006A6D3C"/>
    <w:rsid w:val="006B0D69"/>
    <w:rsid w:val="006B4586"/>
    <w:rsid w:val="006B48EC"/>
    <w:rsid w:val="006B4B13"/>
    <w:rsid w:val="006B54BB"/>
    <w:rsid w:val="006B6E9D"/>
    <w:rsid w:val="006B71AA"/>
    <w:rsid w:val="006C0023"/>
    <w:rsid w:val="006C09AF"/>
    <w:rsid w:val="006C2176"/>
    <w:rsid w:val="006C27B8"/>
    <w:rsid w:val="006C49F8"/>
    <w:rsid w:val="006C7EEA"/>
    <w:rsid w:val="006D027F"/>
    <w:rsid w:val="006D1400"/>
    <w:rsid w:val="006D2439"/>
    <w:rsid w:val="006D2BDD"/>
    <w:rsid w:val="006D3548"/>
    <w:rsid w:val="006D48A0"/>
    <w:rsid w:val="006D719D"/>
    <w:rsid w:val="006D770A"/>
    <w:rsid w:val="006E1C1E"/>
    <w:rsid w:val="006E240A"/>
    <w:rsid w:val="006E496F"/>
    <w:rsid w:val="006E4E03"/>
    <w:rsid w:val="006E64C8"/>
    <w:rsid w:val="006F6CC0"/>
    <w:rsid w:val="00700311"/>
    <w:rsid w:val="00701A2B"/>
    <w:rsid w:val="00702405"/>
    <w:rsid w:val="007054F7"/>
    <w:rsid w:val="00705F20"/>
    <w:rsid w:val="007061B1"/>
    <w:rsid w:val="00707C89"/>
    <w:rsid w:val="00707DBE"/>
    <w:rsid w:val="00710B95"/>
    <w:rsid w:val="0071181C"/>
    <w:rsid w:val="007122AE"/>
    <w:rsid w:val="00712443"/>
    <w:rsid w:val="00714EED"/>
    <w:rsid w:val="00715B80"/>
    <w:rsid w:val="00716545"/>
    <w:rsid w:val="00717798"/>
    <w:rsid w:val="00717D4D"/>
    <w:rsid w:val="00720292"/>
    <w:rsid w:val="00722CAC"/>
    <w:rsid w:val="00723C30"/>
    <w:rsid w:val="00725524"/>
    <w:rsid w:val="00725FAC"/>
    <w:rsid w:val="0072735C"/>
    <w:rsid w:val="007274CD"/>
    <w:rsid w:val="00730F18"/>
    <w:rsid w:val="00732EE8"/>
    <w:rsid w:val="00733387"/>
    <w:rsid w:val="0073347A"/>
    <w:rsid w:val="0073390F"/>
    <w:rsid w:val="0073392C"/>
    <w:rsid w:val="00734162"/>
    <w:rsid w:val="007355DF"/>
    <w:rsid w:val="00736EC3"/>
    <w:rsid w:val="00741397"/>
    <w:rsid w:val="0074277D"/>
    <w:rsid w:val="00742942"/>
    <w:rsid w:val="00742E90"/>
    <w:rsid w:val="00742EE1"/>
    <w:rsid w:val="00742FD8"/>
    <w:rsid w:val="00743D56"/>
    <w:rsid w:val="0074416C"/>
    <w:rsid w:val="00744B69"/>
    <w:rsid w:val="0074568F"/>
    <w:rsid w:val="00747E69"/>
    <w:rsid w:val="00747E86"/>
    <w:rsid w:val="0075157F"/>
    <w:rsid w:val="00753981"/>
    <w:rsid w:val="00753D61"/>
    <w:rsid w:val="007548D4"/>
    <w:rsid w:val="00755D3D"/>
    <w:rsid w:val="00756A72"/>
    <w:rsid w:val="0076184C"/>
    <w:rsid w:val="00763969"/>
    <w:rsid w:val="00763E7C"/>
    <w:rsid w:val="00763FD7"/>
    <w:rsid w:val="007640D3"/>
    <w:rsid w:val="0076519D"/>
    <w:rsid w:val="007654EA"/>
    <w:rsid w:val="00765F0B"/>
    <w:rsid w:val="0076772F"/>
    <w:rsid w:val="0077011E"/>
    <w:rsid w:val="00770CC5"/>
    <w:rsid w:val="00771441"/>
    <w:rsid w:val="00771558"/>
    <w:rsid w:val="00772DCC"/>
    <w:rsid w:val="007749DE"/>
    <w:rsid w:val="007757D9"/>
    <w:rsid w:val="007758F5"/>
    <w:rsid w:val="00777C94"/>
    <w:rsid w:val="00780757"/>
    <w:rsid w:val="00781A7E"/>
    <w:rsid w:val="00781B5A"/>
    <w:rsid w:val="00781BB3"/>
    <w:rsid w:val="00782971"/>
    <w:rsid w:val="00785200"/>
    <w:rsid w:val="00786F7F"/>
    <w:rsid w:val="007919E2"/>
    <w:rsid w:val="00791BC0"/>
    <w:rsid w:val="007925A4"/>
    <w:rsid w:val="007932FF"/>
    <w:rsid w:val="007952C8"/>
    <w:rsid w:val="007952F5"/>
    <w:rsid w:val="00795E44"/>
    <w:rsid w:val="007969E7"/>
    <w:rsid w:val="00797BD9"/>
    <w:rsid w:val="007A16B8"/>
    <w:rsid w:val="007A1B2A"/>
    <w:rsid w:val="007A320F"/>
    <w:rsid w:val="007A4989"/>
    <w:rsid w:val="007A5E2E"/>
    <w:rsid w:val="007A5FF5"/>
    <w:rsid w:val="007A645F"/>
    <w:rsid w:val="007A6FC1"/>
    <w:rsid w:val="007B28A2"/>
    <w:rsid w:val="007B2B0B"/>
    <w:rsid w:val="007B3398"/>
    <w:rsid w:val="007B3B97"/>
    <w:rsid w:val="007B3EA4"/>
    <w:rsid w:val="007B4B37"/>
    <w:rsid w:val="007B5B6C"/>
    <w:rsid w:val="007B7460"/>
    <w:rsid w:val="007C072B"/>
    <w:rsid w:val="007C11B9"/>
    <w:rsid w:val="007C19F0"/>
    <w:rsid w:val="007C4FB6"/>
    <w:rsid w:val="007C628B"/>
    <w:rsid w:val="007C76EB"/>
    <w:rsid w:val="007D0B32"/>
    <w:rsid w:val="007D123B"/>
    <w:rsid w:val="007D19C1"/>
    <w:rsid w:val="007D45BC"/>
    <w:rsid w:val="007D601E"/>
    <w:rsid w:val="007E2C3F"/>
    <w:rsid w:val="007E3CA8"/>
    <w:rsid w:val="007E4F2E"/>
    <w:rsid w:val="007E5B27"/>
    <w:rsid w:val="007F17B8"/>
    <w:rsid w:val="007F2034"/>
    <w:rsid w:val="007F2E4E"/>
    <w:rsid w:val="007F39B2"/>
    <w:rsid w:val="007F3B63"/>
    <w:rsid w:val="007F52CD"/>
    <w:rsid w:val="007F5CFE"/>
    <w:rsid w:val="007F73C8"/>
    <w:rsid w:val="007F7529"/>
    <w:rsid w:val="007F7BAF"/>
    <w:rsid w:val="00802355"/>
    <w:rsid w:val="00802A9E"/>
    <w:rsid w:val="00802C74"/>
    <w:rsid w:val="00803222"/>
    <w:rsid w:val="00804779"/>
    <w:rsid w:val="00805D7E"/>
    <w:rsid w:val="008075AB"/>
    <w:rsid w:val="00807910"/>
    <w:rsid w:val="00812909"/>
    <w:rsid w:val="008129F5"/>
    <w:rsid w:val="00812C3B"/>
    <w:rsid w:val="008159DC"/>
    <w:rsid w:val="008159DD"/>
    <w:rsid w:val="00816673"/>
    <w:rsid w:val="00817251"/>
    <w:rsid w:val="00817648"/>
    <w:rsid w:val="00817941"/>
    <w:rsid w:val="00817AF3"/>
    <w:rsid w:val="00820631"/>
    <w:rsid w:val="008218D5"/>
    <w:rsid w:val="00821B36"/>
    <w:rsid w:val="008228F0"/>
    <w:rsid w:val="00824C39"/>
    <w:rsid w:val="00824EE6"/>
    <w:rsid w:val="0082588D"/>
    <w:rsid w:val="00825BF8"/>
    <w:rsid w:val="008260D6"/>
    <w:rsid w:val="00826B2C"/>
    <w:rsid w:val="00826FE2"/>
    <w:rsid w:val="008301BA"/>
    <w:rsid w:val="00831190"/>
    <w:rsid w:val="008315A7"/>
    <w:rsid w:val="0083171B"/>
    <w:rsid w:val="00832DFF"/>
    <w:rsid w:val="008337A1"/>
    <w:rsid w:val="008357A9"/>
    <w:rsid w:val="008360BD"/>
    <w:rsid w:val="00836A77"/>
    <w:rsid w:val="008377ED"/>
    <w:rsid w:val="00837B5D"/>
    <w:rsid w:val="008417CC"/>
    <w:rsid w:val="00841CEC"/>
    <w:rsid w:val="00841D5D"/>
    <w:rsid w:val="008430C5"/>
    <w:rsid w:val="00844C2C"/>
    <w:rsid w:val="00845870"/>
    <w:rsid w:val="00846593"/>
    <w:rsid w:val="00847210"/>
    <w:rsid w:val="00847B5A"/>
    <w:rsid w:val="008505EC"/>
    <w:rsid w:val="008511B8"/>
    <w:rsid w:val="008526A4"/>
    <w:rsid w:val="00853A6C"/>
    <w:rsid w:val="0085419F"/>
    <w:rsid w:val="00854D7D"/>
    <w:rsid w:val="00855ED9"/>
    <w:rsid w:val="0085619A"/>
    <w:rsid w:val="00857C76"/>
    <w:rsid w:val="00860448"/>
    <w:rsid w:val="00860684"/>
    <w:rsid w:val="0086120A"/>
    <w:rsid w:val="00861836"/>
    <w:rsid w:val="008623DC"/>
    <w:rsid w:val="00862833"/>
    <w:rsid w:val="00863565"/>
    <w:rsid w:val="0086483F"/>
    <w:rsid w:val="008648D2"/>
    <w:rsid w:val="00864DD2"/>
    <w:rsid w:val="008669D9"/>
    <w:rsid w:val="0086775C"/>
    <w:rsid w:val="00871053"/>
    <w:rsid w:val="00871B7A"/>
    <w:rsid w:val="00874EC3"/>
    <w:rsid w:val="0087678D"/>
    <w:rsid w:val="00877B11"/>
    <w:rsid w:val="008814A4"/>
    <w:rsid w:val="00881668"/>
    <w:rsid w:val="00882907"/>
    <w:rsid w:val="00884E60"/>
    <w:rsid w:val="00885368"/>
    <w:rsid w:val="00885F34"/>
    <w:rsid w:val="0088644D"/>
    <w:rsid w:val="00886B2A"/>
    <w:rsid w:val="0088778B"/>
    <w:rsid w:val="008877DD"/>
    <w:rsid w:val="00890319"/>
    <w:rsid w:val="0089106B"/>
    <w:rsid w:val="008912BB"/>
    <w:rsid w:val="008915F9"/>
    <w:rsid w:val="008947F5"/>
    <w:rsid w:val="00896682"/>
    <w:rsid w:val="00897BA5"/>
    <w:rsid w:val="00897F73"/>
    <w:rsid w:val="008A00F7"/>
    <w:rsid w:val="008A0692"/>
    <w:rsid w:val="008A20BC"/>
    <w:rsid w:val="008A3390"/>
    <w:rsid w:val="008A377B"/>
    <w:rsid w:val="008A5A55"/>
    <w:rsid w:val="008A75E5"/>
    <w:rsid w:val="008A7A41"/>
    <w:rsid w:val="008B2090"/>
    <w:rsid w:val="008B2615"/>
    <w:rsid w:val="008B2B47"/>
    <w:rsid w:val="008B3061"/>
    <w:rsid w:val="008B7338"/>
    <w:rsid w:val="008B75FE"/>
    <w:rsid w:val="008B763B"/>
    <w:rsid w:val="008C08A6"/>
    <w:rsid w:val="008C16E1"/>
    <w:rsid w:val="008C2F70"/>
    <w:rsid w:val="008C344D"/>
    <w:rsid w:val="008C386E"/>
    <w:rsid w:val="008C3C64"/>
    <w:rsid w:val="008C42E7"/>
    <w:rsid w:val="008C7867"/>
    <w:rsid w:val="008D0C51"/>
    <w:rsid w:val="008D1245"/>
    <w:rsid w:val="008D49DF"/>
    <w:rsid w:val="008D4CD0"/>
    <w:rsid w:val="008D6B87"/>
    <w:rsid w:val="008D70AE"/>
    <w:rsid w:val="008D70FE"/>
    <w:rsid w:val="008D736C"/>
    <w:rsid w:val="008E01B8"/>
    <w:rsid w:val="008E0330"/>
    <w:rsid w:val="008E03E0"/>
    <w:rsid w:val="008E0463"/>
    <w:rsid w:val="008E1EC4"/>
    <w:rsid w:val="008E2402"/>
    <w:rsid w:val="008E29CD"/>
    <w:rsid w:val="008E36AE"/>
    <w:rsid w:val="008E6D3D"/>
    <w:rsid w:val="008E6F06"/>
    <w:rsid w:val="008E778A"/>
    <w:rsid w:val="008F0054"/>
    <w:rsid w:val="008F03BA"/>
    <w:rsid w:val="008F1F73"/>
    <w:rsid w:val="008F2079"/>
    <w:rsid w:val="008F20FD"/>
    <w:rsid w:val="008F2A36"/>
    <w:rsid w:val="008F49F1"/>
    <w:rsid w:val="008F772C"/>
    <w:rsid w:val="008F7E4B"/>
    <w:rsid w:val="00902CED"/>
    <w:rsid w:val="009030F9"/>
    <w:rsid w:val="00903A1F"/>
    <w:rsid w:val="00904E93"/>
    <w:rsid w:val="00905362"/>
    <w:rsid w:val="00905DAA"/>
    <w:rsid w:val="00907A8B"/>
    <w:rsid w:val="00910304"/>
    <w:rsid w:val="00911D46"/>
    <w:rsid w:val="00913D52"/>
    <w:rsid w:val="00914600"/>
    <w:rsid w:val="00914A40"/>
    <w:rsid w:val="00916987"/>
    <w:rsid w:val="009229CE"/>
    <w:rsid w:val="0092387B"/>
    <w:rsid w:val="009253FE"/>
    <w:rsid w:val="0092611B"/>
    <w:rsid w:val="00926220"/>
    <w:rsid w:val="00927358"/>
    <w:rsid w:val="00927374"/>
    <w:rsid w:val="00927BD0"/>
    <w:rsid w:val="0093000D"/>
    <w:rsid w:val="009300F4"/>
    <w:rsid w:val="009312B3"/>
    <w:rsid w:val="0093366A"/>
    <w:rsid w:val="00935313"/>
    <w:rsid w:val="00937641"/>
    <w:rsid w:val="00937745"/>
    <w:rsid w:val="00937795"/>
    <w:rsid w:val="0094205D"/>
    <w:rsid w:val="009430A3"/>
    <w:rsid w:val="00943AF4"/>
    <w:rsid w:val="00943AFC"/>
    <w:rsid w:val="00943BB5"/>
    <w:rsid w:val="00944939"/>
    <w:rsid w:val="00947D20"/>
    <w:rsid w:val="00947FD6"/>
    <w:rsid w:val="00950E60"/>
    <w:rsid w:val="0095130B"/>
    <w:rsid w:val="00951438"/>
    <w:rsid w:val="009556D3"/>
    <w:rsid w:val="00955FEC"/>
    <w:rsid w:val="00956518"/>
    <w:rsid w:val="00961C92"/>
    <w:rsid w:val="00962714"/>
    <w:rsid w:val="009644F9"/>
    <w:rsid w:val="00964764"/>
    <w:rsid w:val="0096487D"/>
    <w:rsid w:val="00965DD9"/>
    <w:rsid w:val="009663C0"/>
    <w:rsid w:val="00966625"/>
    <w:rsid w:val="00967398"/>
    <w:rsid w:val="00967804"/>
    <w:rsid w:val="0097278F"/>
    <w:rsid w:val="00972CD6"/>
    <w:rsid w:val="00972D28"/>
    <w:rsid w:val="009756A3"/>
    <w:rsid w:val="009758A8"/>
    <w:rsid w:val="009771FF"/>
    <w:rsid w:val="00980A8E"/>
    <w:rsid w:val="00981424"/>
    <w:rsid w:val="00982BA2"/>
    <w:rsid w:val="00984903"/>
    <w:rsid w:val="00985EA4"/>
    <w:rsid w:val="00985FD7"/>
    <w:rsid w:val="009877E0"/>
    <w:rsid w:val="00992279"/>
    <w:rsid w:val="0099281B"/>
    <w:rsid w:val="00992E0E"/>
    <w:rsid w:val="00995E8B"/>
    <w:rsid w:val="00997AFC"/>
    <w:rsid w:val="009A071A"/>
    <w:rsid w:val="009A1C0A"/>
    <w:rsid w:val="009A202A"/>
    <w:rsid w:val="009A238A"/>
    <w:rsid w:val="009A2797"/>
    <w:rsid w:val="009A28B8"/>
    <w:rsid w:val="009A3AFC"/>
    <w:rsid w:val="009A3BAD"/>
    <w:rsid w:val="009A3EE9"/>
    <w:rsid w:val="009A455F"/>
    <w:rsid w:val="009A53D8"/>
    <w:rsid w:val="009A563E"/>
    <w:rsid w:val="009A564E"/>
    <w:rsid w:val="009A5A9B"/>
    <w:rsid w:val="009A6861"/>
    <w:rsid w:val="009B0410"/>
    <w:rsid w:val="009B0433"/>
    <w:rsid w:val="009B0ECC"/>
    <w:rsid w:val="009B11DB"/>
    <w:rsid w:val="009B1B66"/>
    <w:rsid w:val="009B1FE1"/>
    <w:rsid w:val="009B6604"/>
    <w:rsid w:val="009C0A14"/>
    <w:rsid w:val="009C129D"/>
    <w:rsid w:val="009C20AB"/>
    <w:rsid w:val="009C4326"/>
    <w:rsid w:val="009C47CB"/>
    <w:rsid w:val="009C6218"/>
    <w:rsid w:val="009C622E"/>
    <w:rsid w:val="009C66AC"/>
    <w:rsid w:val="009C74FD"/>
    <w:rsid w:val="009D0376"/>
    <w:rsid w:val="009D1076"/>
    <w:rsid w:val="009D1A60"/>
    <w:rsid w:val="009D3146"/>
    <w:rsid w:val="009D410D"/>
    <w:rsid w:val="009D4552"/>
    <w:rsid w:val="009D6BA9"/>
    <w:rsid w:val="009E5B4C"/>
    <w:rsid w:val="009E648D"/>
    <w:rsid w:val="009E7C82"/>
    <w:rsid w:val="009E7DF8"/>
    <w:rsid w:val="009F19CF"/>
    <w:rsid w:val="009F22AB"/>
    <w:rsid w:val="009F34A1"/>
    <w:rsid w:val="009F61AA"/>
    <w:rsid w:val="009F7279"/>
    <w:rsid w:val="00A00A1F"/>
    <w:rsid w:val="00A033A7"/>
    <w:rsid w:val="00A05158"/>
    <w:rsid w:val="00A05420"/>
    <w:rsid w:val="00A07354"/>
    <w:rsid w:val="00A101AC"/>
    <w:rsid w:val="00A10217"/>
    <w:rsid w:val="00A11081"/>
    <w:rsid w:val="00A1228E"/>
    <w:rsid w:val="00A1311A"/>
    <w:rsid w:val="00A1318F"/>
    <w:rsid w:val="00A1415A"/>
    <w:rsid w:val="00A146F6"/>
    <w:rsid w:val="00A1743B"/>
    <w:rsid w:val="00A179AD"/>
    <w:rsid w:val="00A251B8"/>
    <w:rsid w:val="00A25821"/>
    <w:rsid w:val="00A26A5E"/>
    <w:rsid w:val="00A31DB5"/>
    <w:rsid w:val="00A320F0"/>
    <w:rsid w:val="00A32FB2"/>
    <w:rsid w:val="00A332E0"/>
    <w:rsid w:val="00A33CE2"/>
    <w:rsid w:val="00A36018"/>
    <w:rsid w:val="00A3612E"/>
    <w:rsid w:val="00A37563"/>
    <w:rsid w:val="00A40221"/>
    <w:rsid w:val="00A416DA"/>
    <w:rsid w:val="00A41BC8"/>
    <w:rsid w:val="00A41E4B"/>
    <w:rsid w:val="00A41E71"/>
    <w:rsid w:val="00A4215D"/>
    <w:rsid w:val="00A4216F"/>
    <w:rsid w:val="00A42737"/>
    <w:rsid w:val="00A437FD"/>
    <w:rsid w:val="00A43B91"/>
    <w:rsid w:val="00A43F6C"/>
    <w:rsid w:val="00A45EC3"/>
    <w:rsid w:val="00A46B5F"/>
    <w:rsid w:val="00A46DD8"/>
    <w:rsid w:val="00A471B5"/>
    <w:rsid w:val="00A50479"/>
    <w:rsid w:val="00A51F0D"/>
    <w:rsid w:val="00A52A0F"/>
    <w:rsid w:val="00A5391F"/>
    <w:rsid w:val="00A54038"/>
    <w:rsid w:val="00A545D5"/>
    <w:rsid w:val="00A54886"/>
    <w:rsid w:val="00A54DAC"/>
    <w:rsid w:val="00A5557E"/>
    <w:rsid w:val="00A556A8"/>
    <w:rsid w:val="00A6145B"/>
    <w:rsid w:val="00A62524"/>
    <w:rsid w:val="00A626F7"/>
    <w:rsid w:val="00A64A8B"/>
    <w:rsid w:val="00A64FDE"/>
    <w:rsid w:val="00A66D78"/>
    <w:rsid w:val="00A67547"/>
    <w:rsid w:val="00A715D9"/>
    <w:rsid w:val="00A71CF6"/>
    <w:rsid w:val="00A72E4C"/>
    <w:rsid w:val="00A814CC"/>
    <w:rsid w:val="00A81763"/>
    <w:rsid w:val="00A82E8F"/>
    <w:rsid w:val="00A83EFC"/>
    <w:rsid w:val="00A84B69"/>
    <w:rsid w:val="00A84E8B"/>
    <w:rsid w:val="00A86A83"/>
    <w:rsid w:val="00A9000D"/>
    <w:rsid w:val="00A901F3"/>
    <w:rsid w:val="00A93651"/>
    <w:rsid w:val="00A938D1"/>
    <w:rsid w:val="00A95873"/>
    <w:rsid w:val="00A95E8C"/>
    <w:rsid w:val="00A96107"/>
    <w:rsid w:val="00A96F84"/>
    <w:rsid w:val="00AA1470"/>
    <w:rsid w:val="00AA1715"/>
    <w:rsid w:val="00AA5290"/>
    <w:rsid w:val="00AA66A8"/>
    <w:rsid w:val="00AA683B"/>
    <w:rsid w:val="00AA79A6"/>
    <w:rsid w:val="00AA7B90"/>
    <w:rsid w:val="00AB0372"/>
    <w:rsid w:val="00AB1DD1"/>
    <w:rsid w:val="00AB5DF7"/>
    <w:rsid w:val="00AB65C7"/>
    <w:rsid w:val="00AC15C9"/>
    <w:rsid w:val="00AC3A4C"/>
    <w:rsid w:val="00AC3D4F"/>
    <w:rsid w:val="00AC45D9"/>
    <w:rsid w:val="00AD4874"/>
    <w:rsid w:val="00AD4C45"/>
    <w:rsid w:val="00AD4D19"/>
    <w:rsid w:val="00AD5AA9"/>
    <w:rsid w:val="00AD65C6"/>
    <w:rsid w:val="00AD75FF"/>
    <w:rsid w:val="00AE0C09"/>
    <w:rsid w:val="00AE340E"/>
    <w:rsid w:val="00AE572C"/>
    <w:rsid w:val="00AE58AB"/>
    <w:rsid w:val="00AE63CD"/>
    <w:rsid w:val="00AF1B2E"/>
    <w:rsid w:val="00AF2AA0"/>
    <w:rsid w:val="00AF375A"/>
    <w:rsid w:val="00AF517B"/>
    <w:rsid w:val="00AF7D80"/>
    <w:rsid w:val="00AF7DBA"/>
    <w:rsid w:val="00B000DC"/>
    <w:rsid w:val="00B00F63"/>
    <w:rsid w:val="00B03CC7"/>
    <w:rsid w:val="00B05970"/>
    <w:rsid w:val="00B0668D"/>
    <w:rsid w:val="00B10439"/>
    <w:rsid w:val="00B1073D"/>
    <w:rsid w:val="00B10C9E"/>
    <w:rsid w:val="00B130D3"/>
    <w:rsid w:val="00B133C2"/>
    <w:rsid w:val="00B14488"/>
    <w:rsid w:val="00B14731"/>
    <w:rsid w:val="00B14D72"/>
    <w:rsid w:val="00B14D8C"/>
    <w:rsid w:val="00B166B9"/>
    <w:rsid w:val="00B16942"/>
    <w:rsid w:val="00B229D4"/>
    <w:rsid w:val="00B22A0F"/>
    <w:rsid w:val="00B23B8E"/>
    <w:rsid w:val="00B2425C"/>
    <w:rsid w:val="00B24A54"/>
    <w:rsid w:val="00B25504"/>
    <w:rsid w:val="00B26BCC"/>
    <w:rsid w:val="00B2738F"/>
    <w:rsid w:val="00B30CD0"/>
    <w:rsid w:val="00B315DD"/>
    <w:rsid w:val="00B32B3E"/>
    <w:rsid w:val="00B332AF"/>
    <w:rsid w:val="00B339B1"/>
    <w:rsid w:val="00B33C66"/>
    <w:rsid w:val="00B34B28"/>
    <w:rsid w:val="00B36008"/>
    <w:rsid w:val="00B376EB"/>
    <w:rsid w:val="00B37ED4"/>
    <w:rsid w:val="00B40F65"/>
    <w:rsid w:val="00B41710"/>
    <w:rsid w:val="00B43C55"/>
    <w:rsid w:val="00B45983"/>
    <w:rsid w:val="00B45B6A"/>
    <w:rsid w:val="00B46210"/>
    <w:rsid w:val="00B470C0"/>
    <w:rsid w:val="00B47B26"/>
    <w:rsid w:val="00B50107"/>
    <w:rsid w:val="00B505A7"/>
    <w:rsid w:val="00B50F43"/>
    <w:rsid w:val="00B52DF7"/>
    <w:rsid w:val="00B53A51"/>
    <w:rsid w:val="00B54950"/>
    <w:rsid w:val="00B54A01"/>
    <w:rsid w:val="00B5751E"/>
    <w:rsid w:val="00B57FCC"/>
    <w:rsid w:val="00B62002"/>
    <w:rsid w:val="00B62E50"/>
    <w:rsid w:val="00B63CCD"/>
    <w:rsid w:val="00B63E99"/>
    <w:rsid w:val="00B644DF"/>
    <w:rsid w:val="00B652FC"/>
    <w:rsid w:val="00B6547D"/>
    <w:rsid w:val="00B669E9"/>
    <w:rsid w:val="00B66C04"/>
    <w:rsid w:val="00B72EBA"/>
    <w:rsid w:val="00B7317F"/>
    <w:rsid w:val="00B73818"/>
    <w:rsid w:val="00B75D66"/>
    <w:rsid w:val="00B81B34"/>
    <w:rsid w:val="00B81F44"/>
    <w:rsid w:val="00B82769"/>
    <w:rsid w:val="00B8351E"/>
    <w:rsid w:val="00B856D2"/>
    <w:rsid w:val="00B85869"/>
    <w:rsid w:val="00B8652F"/>
    <w:rsid w:val="00B87445"/>
    <w:rsid w:val="00B90E01"/>
    <w:rsid w:val="00B90E16"/>
    <w:rsid w:val="00B91551"/>
    <w:rsid w:val="00B926C8"/>
    <w:rsid w:val="00B93D2B"/>
    <w:rsid w:val="00B9418E"/>
    <w:rsid w:val="00B94738"/>
    <w:rsid w:val="00B949E1"/>
    <w:rsid w:val="00B95B77"/>
    <w:rsid w:val="00B97183"/>
    <w:rsid w:val="00BA1C9F"/>
    <w:rsid w:val="00BA355B"/>
    <w:rsid w:val="00BA566E"/>
    <w:rsid w:val="00BA5F82"/>
    <w:rsid w:val="00BA62F2"/>
    <w:rsid w:val="00BA6BF1"/>
    <w:rsid w:val="00BA78A3"/>
    <w:rsid w:val="00BB03EE"/>
    <w:rsid w:val="00BB082C"/>
    <w:rsid w:val="00BB0DC0"/>
    <w:rsid w:val="00BB13BF"/>
    <w:rsid w:val="00BB14B8"/>
    <w:rsid w:val="00BB36A3"/>
    <w:rsid w:val="00BB3DDB"/>
    <w:rsid w:val="00BB5188"/>
    <w:rsid w:val="00BB64DE"/>
    <w:rsid w:val="00BB6D07"/>
    <w:rsid w:val="00BB78B3"/>
    <w:rsid w:val="00BC12B5"/>
    <w:rsid w:val="00BC1863"/>
    <w:rsid w:val="00BC22CA"/>
    <w:rsid w:val="00BC4A46"/>
    <w:rsid w:val="00BC67AA"/>
    <w:rsid w:val="00BC6814"/>
    <w:rsid w:val="00BD04F0"/>
    <w:rsid w:val="00BD099B"/>
    <w:rsid w:val="00BD1439"/>
    <w:rsid w:val="00BD5DB9"/>
    <w:rsid w:val="00BD718E"/>
    <w:rsid w:val="00BE0CD9"/>
    <w:rsid w:val="00BE13B8"/>
    <w:rsid w:val="00BE2390"/>
    <w:rsid w:val="00BE2EE3"/>
    <w:rsid w:val="00BE5106"/>
    <w:rsid w:val="00BE572D"/>
    <w:rsid w:val="00BE6E66"/>
    <w:rsid w:val="00BE73E4"/>
    <w:rsid w:val="00BE770D"/>
    <w:rsid w:val="00BF099E"/>
    <w:rsid w:val="00BF2BEB"/>
    <w:rsid w:val="00BF2F4F"/>
    <w:rsid w:val="00BF4BC1"/>
    <w:rsid w:val="00BF524E"/>
    <w:rsid w:val="00BF58B2"/>
    <w:rsid w:val="00BF66D0"/>
    <w:rsid w:val="00C01D05"/>
    <w:rsid w:val="00C01FFC"/>
    <w:rsid w:val="00C0236F"/>
    <w:rsid w:val="00C0247F"/>
    <w:rsid w:val="00C03733"/>
    <w:rsid w:val="00C05180"/>
    <w:rsid w:val="00C07B61"/>
    <w:rsid w:val="00C10919"/>
    <w:rsid w:val="00C11DD0"/>
    <w:rsid w:val="00C12A77"/>
    <w:rsid w:val="00C135A0"/>
    <w:rsid w:val="00C14762"/>
    <w:rsid w:val="00C14A77"/>
    <w:rsid w:val="00C169FC"/>
    <w:rsid w:val="00C17EF3"/>
    <w:rsid w:val="00C2101B"/>
    <w:rsid w:val="00C24412"/>
    <w:rsid w:val="00C253B8"/>
    <w:rsid w:val="00C25B2A"/>
    <w:rsid w:val="00C25CDC"/>
    <w:rsid w:val="00C26674"/>
    <w:rsid w:val="00C26D68"/>
    <w:rsid w:val="00C273C2"/>
    <w:rsid w:val="00C30BFB"/>
    <w:rsid w:val="00C315CF"/>
    <w:rsid w:val="00C318A6"/>
    <w:rsid w:val="00C3207F"/>
    <w:rsid w:val="00C320F5"/>
    <w:rsid w:val="00C32C62"/>
    <w:rsid w:val="00C35345"/>
    <w:rsid w:val="00C36BC2"/>
    <w:rsid w:val="00C3784C"/>
    <w:rsid w:val="00C40D8B"/>
    <w:rsid w:val="00C41D83"/>
    <w:rsid w:val="00C434B0"/>
    <w:rsid w:val="00C445FF"/>
    <w:rsid w:val="00C446D6"/>
    <w:rsid w:val="00C44C3E"/>
    <w:rsid w:val="00C459C0"/>
    <w:rsid w:val="00C46554"/>
    <w:rsid w:val="00C46B86"/>
    <w:rsid w:val="00C47806"/>
    <w:rsid w:val="00C5009D"/>
    <w:rsid w:val="00C506C1"/>
    <w:rsid w:val="00C50856"/>
    <w:rsid w:val="00C50E42"/>
    <w:rsid w:val="00C53272"/>
    <w:rsid w:val="00C53668"/>
    <w:rsid w:val="00C54C02"/>
    <w:rsid w:val="00C55D12"/>
    <w:rsid w:val="00C56072"/>
    <w:rsid w:val="00C605EF"/>
    <w:rsid w:val="00C6097B"/>
    <w:rsid w:val="00C60AAB"/>
    <w:rsid w:val="00C60DE2"/>
    <w:rsid w:val="00C615A2"/>
    <w:rsid w:val="00C61DF8"/>
    <w:rsid w:val="00C6203D"/>
    <w:rsid w:val="00C638B2"/>
    <w:rsid w:val="00C6590D"/>
    <w:rsid w:val="00C66216"/>
    <w:rsid w:val="00C6646D"/>
    <w:rsid w:val="00C705BC"/>
    <w:rsid w:val="00C705D5"/>
    <w:rsid w:val="00C708B4"/>
    <w:rsid w:val="00C71E79"/>
    <w:rsid w:val="00C73BC3"/>
    <w:rsid w:val="00C74575"/>
    <w:rsid w:val="00C765FF"/>
    <w:rsid w:val="00C77404"/>
    <w:rsid w:val="00C82B2E"/>
    <w:rsid w:val="00C86189"/>
    <w:rsid w:val="00C91496"/>
    <w:rsid w:val="00C916F9"/>
    <w:rsid w:val="00C94EA6"/>
    <w:rsid w:val="00C9594B"/>
    <w:rsid w:val="00C95FAB"/>
    <w:rsid w:val="00C9640A"/>
    <w:rsid w:val="00C96B57"/>
    <w:rsid w:val="00C97E19"/>
    <w:rsid w:val="00CA0090"/>
    <w:rsid w:val="00CA204B"/>
    <w:rsid w:val="00CA27C2"/>
    <w:rsid w:val="00CA2F15"/>
    <w:rsid w:val="00CA3677"/>
    <w:rsid w:val="00CA3A68"/>
    <w:rsid w:val="00CA3C75"/>
    <w:rsid w:val="00CA4628"/>
    <w:rsid w:val="00CA50FB"/>
    <w:rsid w:val="00CA5651"/>
    <w:rsid w:val="00CA5AD0"/>
    <w:rsid w:val="00CB3196"/>
    <w:rsid w:val="00CB366C"/>
    <w:rsid w:val="00CB36E8"/>
    <w:rsid w:val="00CB564E"/>
    <w:rsid w:val="00CB69D7"/>
    <w:rsid w:val="00CB6B93"/>
    <w:rsid w:val="00CC0910"/>
    <w:rsid w:val="00CC18C3"/>
    <w:rsid w:val="00CC3150"/>
    <w:rsid w:val="00CC3289"/>
    <w:rsid w:val="00CC3335"/>
    <w:rsid w:val="00CC3515"/>
    <w:rsid w:val="00CC3743"/>
    <w:rsid w:val="00CC4504"/>
    <w:rsid w:val="00CC4518"/>
    <w:rsid w:val="00CC60BB"/>
    <w:rsid w:val="00CC6632"/>
    <w:rsid w:val="00CC694A"/>
    <w:rsid w:val="00CC710B"/>
    <w:rsid w:val="00CC75BE"/>
    <w:rsid w:val="00CC7BD9"/>
    <w:rsid w:val="00CD0D12"/>
    <w:rsid w:val="00CD1566"/>
    <w:rsid w:val="00CD3AF4"/>
    <w:rsid w:val="00CD3C3E"/>
    <w:rsid w:val="00CD3FD0"/>
    <w:rsid w:val="00CD491B"/>
    <w:rsid w:val="00CD6023"/>
    <w:rsid w:val="00CD6E51"/>
    <w:rsid w:val="00CE0126"/>
    <w:rsid w:val="00CE016F"/>
    <w:rsid w:val="00CE1468"/>
    <w:rsid w:val="00CE1B72"/>
    <w:rsid w:val="00CE1F16"/>
    <w:rsid w:val="00CE5F6E"/>
    <w:rsid w:val="00CE67BE"/>
    <w:rsid w:val="00CE681B"/>
    <w:rsid w:val="00CF0968"/>
    <w:rsid w:val="00CF0BF8"/>
    <w:rsid w:val="00CF1D34"/>
    <w:rsid w:val="00CF34FE"/>
    <w:rsid w:val="00CF4103"/>
    <w:rsid w:val="00CF4D99"/>
    <w:rsid w:val="00CF520D"/>
    <w:rsid w:val="00D01B9C"/>
    <w:rsid w:val="00D06FB0"/>
    <w:rsid w:val="00D07800"/>
    <w:rsid w:val="00D07B5C"/>
    <w:rsid w:val="00D07C42"/>
    <w:rsid w:val="00D11103"/>
    <w:rsid w:val="00D11E8B"/>
    <w:rsid w:val="00D11ECB"/>
    <w:rsid w:val="00D1261D"/>
    <w:rsid w:val="00D12722"/>
    <w:rsid w:val="00D14242"/>
    <w:rsid w:val="00D15D28"/>
    <w:rsid w:val="00D20654"/>
    <w:rsid w:val="00D23193"/>
    <w:rsid w:val="00D23FEB"/>
    <w:rsid w:val="00D2488F"/>
    <w:rsid w:val="00D24A0F"/>
    <w:rsid w:val="00D2523F"/>
    <w:rsid w:val="00D2628B"/>
    <w:rsid w:val="00D26A40"/>
    <w:rsid w:val="00D27291"/>
    <w:rsid w:val="00D27AF5"/>
    <w:rsid w:val="00D317F9"/>
    <w:rsid w:val="00D32C0E"/>
    <w:rsid w:val="00D32C5E"/>
    <w:rsid w:val="00D332D8"/>
    <w:rsid w:val="00D3504C"/>
    <w:rsid w:val="00D35FA7"/>
    <w:rsid w:val="00D369B8"/>
    <w:rsid w:val="00D37B71"/>
    <w:rsid w:val="00D4127A"/>
    <w:rsid w:val="00D41C7B"/>
    <w:rsid w:val="00D441FD"/>
    <w:rsid w:val="00D445CA"/>
    <w:rsid w:val="00D45E26"/>
    <w:rsid w:val="00D47A71"/>
    <w:rsid w:val="00D5065D"/>
    <w:rsid w:val="00D50F86"/>
    <w:rsid w:val="00D5155D"/>
    <w:rsid w:val="00D52BBB"/>
    <w:rsid w:val="00D53F16"/>
    <w:rsid w:val="00D56170"/>
    <w:rsid w:val="00D5694A"/>
    <w:rsid w:val="00D6046B"/>
    <w:rsid w:val="00D61B82"/>
    <w:rsid w:val="00D630F1"/>
    <w:rsid w:val="00D65E0E"/>
    <w:rsid w:val="00D668AD"/>
    <w:rsid w:val="00D66FBA"/>
    <w:rsid w:val="00D6720F"/>
    <w:rsid w:val="00D70AB2"/>
    <w:rsid w:val="00D73377"/>
    <w:rsid w:val="00D7460E"/>
    <w:rsid w:val="00D7482A"/>
    <w:rsid w:val="00D756C6"/>
    <w:rsid w:val="00D805CA"/>
    <w:rsid w:val="00D817DF"/>
    <w:rsid w:val="00D8218A"/>
    <w:rsid w:val="00D82375"/>
    <w:rsid w:val="00D84651"/>
    <w:rsid w:val="00D8484E"/>
    <w:rsid w:val="00D868C5"/>
    <w:rsid w:val="00D87C26"/>
    <w:rsid w:val="00D9060A"/>
    <w:rsid w:val="00D91608"/>
    <w:rsid w:val="00D91E2B"/>
    <w:rsid w:val="00D9322B"/>
    <w:rsid w:val="00D95750"/>
    <w:rsid w:val="00D9634B"/>
    <w:rsid w:val="00D97016"/>
    <w:rsid w:val="00D97EFF"/>
    <w:rsid w:val="00DA1B3B"/>
    <w:rsid w:val="00DA2B3B"/>
    <w:rsid w:val="00DA38C8"/>
    <w:rsid w:val="00DA4166"/>
    <w:rsid w:val="00DA43A1"/>
    <w:rsid w:val="00DA52CA"/>
    <w:rsid w:val="00DA595C"/>
    <w:rsid w:val="00DB0539"/>
    <w:rsid w:val="00DB05D1"/>
    <w:rsid w:val="00DB3E1D"/>
    <w:rsid w:val="00DB6AAE"/>
    <w:rsid w:val="00DC1279"/>
    <w:rsid w:val="00DC1856"/>
    <w:rsid w:val="00DC358E"/>
    <w:rsid w:val="00DC3CC1"/>
    <w:rsid w:val="00DC416C"/>
    <w:rsid w:val="00DC7B73"/>
    <w:rsid w:val="00DD0D0A"/>
    <w:rsid w:val="00DD2389"/>
    <w:rsid w:val="00DD3951"/>
    <w:rsid w:val="00DD6C06"/>
    <w:rsid w:val="00DD7927"/>
    <w:rsid w:val="00DE192F"/>
    <w:rsid w:val="00DE2023"/>
    <w:rsid w:val="00DE3EC6"/>
    <w:rsid w:val="00DF1F4A"/>
    <w:rsid w:val="00DF2EDE"/>
    <w:rsid w:val="00DF62F2"/>
    <w:rsid w:val="00DF7483"/>
    <w:rsid w:val="00DF75CC"/>
    <w:rsid w:val="00E00140"/>
    <w:rsid w:val="00E00FA3"/>
    <w:rsid w:val="00E03BC6"/>
    <w:rsid w:val="00E041B6"/>
    <w:rsid w:val="00E04384"/>
    <w:rsid w:val="00E050E0"/>
    <w:rsid w:val="00E060EF"/>
    <w:rsid w:val="00E07C1F"/>
    <w:rsid w:val="00E109F2"/>
    <w:rsid w:val="00E1237A"/>
    <w:rsid w:val="00E14AB9"/>
    <w:rsid w:val="00E14FF2"/>
    <w:rsid w:val="00E169BD"/>
    <w:rsid w:val="00E20825"/>
    <w:rsid w:val="00E21D39"/>
    <w:rsid w:val="00E22170"/>
    <w:rsid w:val="00E22504"/>
    <w:rsid w:val="00E22D8F"/>
    <w:rsid w:val="00E2318C"/>
    <w:rsid w:val="00E2352C"/>
    <w:rsid w:val="00E261F7"/>
    <w:rsid w:val="00E30E31"/>
    <w:rsid w:val="00E310EE"/>
    <w:rsid w:val="00E32AD5"/>
    <w:rsid w:val="00E32DC4"/>
    <w:rsid w:val="00E334AD"/>
    <w:rsid w:val="00E34988"/>
    <w:rsid w:val="00E35101"/>
    <w:rsid w:val="00E356F9"/>
    <w:rsid w:val="00E35DD2"/>
    <w:rsid w:val="00E376ED"/>
    <w:rsid w:val="00E37AFA"/>
    <w:rsid w:val="00E41263"/>
    <w:rsid w:val="00E431AA"/>
    <w:rsid w:val="00E4505E"/>
    <w:rsid w:val="00E459B9"/>
    <w:rsid w:val="00E45D70"/>
    <w:rsid w:val="00E466D1"/>
    <w:rsid w:val="00E47A8E"/>
    <w:rsid w:val="00E47F1E"/>
    <w:rsid w:val="00E504B8"/>
    <w:rsid w:val="00E50749"/>
    <w:rsid w:val="00E51647"/>
    <w:rsid w:val="00E52044"/>
    <w:rsid w:val="00E52273"/>
    <w:rsid w:val="00E601E7"/>
    <w:rsid w:val="00E61135"/>
    <w:rsid w:val="00E61B09"/>
    <w:rsid w:val="00E63DBB"/>
    <w:rsid w:val="00E640B7"/>
    <w:rsid w:val="00E64ADE"/>
    <w:rsid w:val="00E67288"/>
    <w:rsid w:val="00E6774F"/>
    <w:rsid w:val="00E73B76"/>
    <w:rsid w:val="00E73D3D"/>
    <w:rsid w:val="00E74EC9"/>
    <w:rsid w:val="00E76174"/>
    <w:rsid w:val="00E76B30"/>
    <w:rsid w:val="00E77E65"/>
    <w:rsid w:val="00E80515"/>
    <w:rsid w:val="00E81343"/>
    <w:rsid w:val="00E814B0"/>
    <w:rsid w:val="00E81834"/>
    <w:rsid w:val="00E81A85"/>
    <w:rsid w:val="00E822D5"/>
    <w:rsid w:val="00E828AA"/>
    <w:rsid w:val="00E84F52"/>
    <w:rsid w:val="00E85749"/>
    <w:rsid w:val="00E87472"/>
    <w:rsid w:val="00E9097F"/>
    <w:rsid w:val="00E90B7F"/>
    <w:rsid w:val="00E917DA"/>
    <w:rsid w:val="00E92AF9"/>
    <w:rsid w:val="00E9485A"/>
    <w:rsid w:val="00E94A82"/>
    <w:rsid w:val="00E956A0"/>
    <w:rsid w:val="00E95FEE"/>
    <w:rsid w:val="00EA0182"/>
    <w:rsid w:val="00EA2314"/>
    <w:rsid w:val="00EA3E45"/>
    <w:rsid w:val="00EA5113"/>
    <w:rsid w:val="00EA523E"/>
    <w:rsid w:val="00EA605E"/>
    <w:rsid w:val="00EA718D"/>
    <w:rsid w:val="00EA7483"/>
    <w:rsid w:val="00EA7C02"/>
    <w:rsid w:val="00EB22C2"/>
    <w:rsid w:val="00EB27B6"/>
    <w:rsid w:val="00EB328D"/>
    <w:rsid w:val="00EB350E"/>
    <w:rsid w:val="00EB3D47"/>
    <w:rsid w:val="00EB3DB1"/>
    <w:rsid w:val="00EB40AC"/>
    <w:rsid w:val="00EB7BCE"/>
    <w:rsid w:val="00EC15AF"/>
    <w:rsid w:val="00EC280F"/>
    <w:rsid w:val="00EC3FD6"/>
    <w:rsid w:val="00EC405E"/>
    <w:rsid w:val="00EC52DC"/>
    <w:rsid w:val="00EC6E0A"/>
    <w:rsid w:val="00EC7459"/>
    <w:rsid w:val="00EC798B"/>
    <w:rsid w:val="00ED0693"/>
    <w:rsid w:val="00ED134A"/>
    <w:rsid w:val="00ED14FC"/>
    <w:rsid w:val="00ED35F7"/>
    <w:rsid w:val="00ED3C5C"/>
    <w:rsid w:val="00ED4836"/>
    <w:rsid w:val="00ED6E31"/>
    <w:rsid w:val="00EE070B"/>
    <w:rsid w:val="00EE0C3D"/>
    <w:rsid w:val="00EE1436"/>
    <w:rsid w:val="00EE29DD"/>
    <w:rsid w:val="00EE375D"/>
    <w:rsid w:val="00EE6066"/>
    <w:rsid w:val="00EE74C2"/>
    <w:rsid w:val="00EF08A2"/>
    <w:rsid w:val="00EF18ED"/>
    <w:rsid w:val="00EF2ABC"/>
    <w:rsid w:val="00EF385C"/>
    <w:rsid w:val="00EF391E"/>
    <w:rsid w:val="00EF3C90"/>
    <w:rsid w:val="00EF4DED"/>
    <w:rsid w:val="00EF5174"/>
    <w:rsid w:val="00EF76D7"/>
    <w:rsid w:val="00F00066"/>
    <w:rsid w:val="00F028B3"/>
    <w:rsid w:val="00F031F0"/>
    <w:rsid w:val="00F04F58"/>
    <w:rsid w:val="00F07FDB"/>
    <w:rsid w:val="00F1025A"/>
    <w:rsid w:val="00F1032F"/>
    <w:rsid w:val="00F10338"/>
    <w:rsid w:val="00F1066C"/>
    <w:rsid w:val="00F1123D"/>
    <w:rsid w:val="00F13168"/>
    <w:rsid w:val="00F1350B"/>
    <w:rsid w:val="00F16211"/>
    <w:rsid w:val="00F1649F"/>
    <w:rsid w:val="00F17096"/>
    <w:rsid w:val="00F228BD"/>
    <w:rsid w:val="00F23CF2"/>
    <w:rsid w:val="00F2446F"/>
    <w:rsid w:val="00F247E4"/>
    <w:rsid w:val="00F24AFF"/>
    <w:rsid w:val="00F24FA3"/>
    <w:rsid w:val="00F25AEF"/>
    <w:rsid w:val="00F25E86"/>
    <w:rsid w:val="00F26E1D"/>
    <w:rsid w:val="00F278CD"/>
    <w:rsid w:val="00F3132B"/>
    <w:rsid w:val="00F31860"/>
    <w:rsid w:val="00F31B60"/>
    <w:rsid w:val="00F325B8"/>
    <w:rsid w:val="00F332C9"/>
    <w:rsid w:val="00F3468E"/>
    <w:rsid w:val="00F35AE2"/>
    <w:rsid w:val="00F35D75"/>
    <w:rsid w:val="00F36018"/>
    <w:rsid w:val="00F3634E"/>
    <w:rsid w:val="00F363D9"/>
    <w:rsid w:val="00F36802"/>
    <w:rsid w:val="00F40AB0"/>
    <w:rsid w:val="00F40F0F"/>
    <w:rsid w:val="00F42794"/>
    <w:rsid w:val="00F42812"/>
    <w:rsid w:val="00F428EA"/>
    <w:rsid w:val="00F42E64"/>
    <w:rsid w:val="00F459E0"/>
    <w:rsid w:val="00F46129"/>
    <w:rsid w:val="00F465B4"/>
    <w:rsid w:val="00F46FF0"/>
    <w:rsid w:val="00F473F9"/>
    <w:rsid w:val="00F5082A"/>
    <w:rsid w:val="00F52E6D"/>
    <w:rsid w:val="00F54580"/>
    <w:rsid w:val="00F5574D"/>
    <w:rsid w:val="00F55D48"/>
    <w:rsid w:val="00F55EDE"/>
    <w:rsid w:val="00F563D5"/>
    <w:rsid w:val="00F56489"/>
    <w:rsid w:val="00F607F6"/>
    <w:rsid w:val="00F6119C"/>
    <w:rsid w:val="00F617D2"/>
    <w:rsid w:val="00F61803"/>
    <w:rsid w:val="00F634CE"/>
    <w:rsid w:val="00F64CF8"/>
    <w:rsid w:val="00F65052"/>
    <w:rsid w:val="00F6563A"/>
    <w:rsid w:val="00F66299"/>
    <w:rsid w:val="00F672DD"/>
    <w:rsid w:val="00F7000A"/>
    <w:rsid w:val="00F70D12"/>
    <w:rsid w:val="00F717BC"/>
    <w:rsid w:val="00F73C9C"/>
    <w:rsid w:val="00F7502D"/>
    <w:rsid w:val="00F75651"/>
    <w:rsid w:val="00F76661"/>
    <w:rsid w:val="00F769B2"/>
    <w:rsid w:val="00F80185"/>
    <w:rsid w:val="00F820A2"/>
    <w:rsid w:val="00F82426"/>
    <w:rsid w:val="00F8358D"/>
    <w:rsid w:val="00F83859"/>
    <w:rsid w:val="00F85262"/>
    <w:rsid w:val="00F855B4"/>
    <w:rsid w:val="00F85CBC"/>
    <w:rsid w:val="00F8642D"/>
    <w:rsid w:val="00F875EC"/>
    <w:rsid w:val="00F901B3"/>
    <w:rsid w:val="00F90B02"/>
    <w:rsid w:val="00F90E34"/>
    <w:rsid w:val="00F91817"/>
    <w:rsid w:val="00F9223E"/>
    <w:rsid w:val="00F92329"/>
    <w:rsid w:val="00F9263D"/>
    <w:rsid w:val="00F9284A"/>
    <w:rsid w:val="00FA2A79"/>
    <w:rsid w:val="00FA3E1F"/>
    <w:rsid w:val="00FA4D36"/>
    <w:rsid w:val="00FA5DBE"/>
    <w:rsid w:val="00FA70FE"/>
    <w:rsid w:val="00FB129B"/>
    <w:rsid w:val="00FB18DE"/>
    <w:rsid w:val="00FB1DF8"/>
    <w:rsid w:val="00FB4A8F"/>
    <w:rsid w:val="00FB5AA8"/>
    <w:rsid w:val="00FB74BA"/>
    <w:rsid w:val="00FC208A"/>
    <w:rsid w:val="00FC2972"/>
    <w:rsid w:val="00FD087A"/>
    <w:rsid w:val="00FD1433"/>
    <w:rsid w:val="00FD1AC0"/>
    <w:rsid w:val="00FD1BBA"/>
    <w:rsid w:val="00FD513C"/>
    <w:rsid w:val="00FD5B8C"/>
    <w:rsid w:val="00FD70B0"/>
    <w:rsid w:val="00FE0A37"/>
    <w:rsid w:val="00FE32C5"/>
    <w:rsid w:val="00FE463F"/>
    <w:rsid w:val="00FE4840"/>
    <w:rsid w:val="00FE6131"/>
    <w:rsid w:val="00FE679C"/>
    <w:rsid w:val="00FE6BCA"/>
    <w:rsid w:val="00FE70E7"/>
    <w:rsid w:val="00FE7425"/>
    <w:rsid w:val="00FF1C9F"/>
    <w:rsid w:val="00FF1DB3"/>
    <w:rsid w:val="00FF250F"/>
    <w:rsid w:val="00FF3FF9"/>
    <w:rsid w:val="00FF4C96"/>
    <w:rsid w:val="00FF74DE"/>
    <w:rsid w:val="00FF7FEA"/>
    <w:rsid w:val="439B3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exact"/>
    </w:pPr>
    <w:rPr>
      <w:rFonts w:ascii="Times New Roman" w:hAnsi="Times New Roman" w:eastAsia="Calibri" w:cs="Times New Roman"/>
      <w:sz w:val="28"/>
      <w:szCs w:val="28"/>
      <w:lang w:val="en-US" w:eastAsia="en-US" w:bidi="ar-SA"/>
    </w:rPr>
  </w:style>
  <w:style w:type="paragraph" w:styleId="2">
    <w:name w:val="heading 1"/>
    <w:basedOn w:val="1"/>
    <w:next w:val="1"/>
    <w:link w:val="42"/>
    <w:qFormat/>
    <w:uiPriority w:val="9"/>
    <w:pPr>
      <w:numPr>
        <w:ilvl w:val="0"/>
        <w:numId w:val="1"/>
      </w:numPr>
      <w:spacing w:before="320" w:after="320" w:line="264" w:lineRule="auto"/>
      <w:jc w:val="center"/>
      <w:outlineLvl w:val="0"/>
    </w:pPr>
    <w:rPr>
      <w:rFonts w:ascii="Times New Roman Bold" w:hAnsi="Times New Roman Bold"/>
      <w:b/>
      <w:caps/>
      <w:sz w:val="26"/>
      <w:szCs w:val="22"/>
    </w:rPr>
  </w:style>
  <w:style w:type="paragraph" w:styleId="3">
    <w:name w:val="heading 2"/>
    <w:basedOn w:val="1"/>
    <w:next w:val="1"/>
    <w:link w:val="43"/>
    <w:qFormat/>
    <w:uiPriority w:val="9"/>
    <w:pPr>
      <w:keepNext/>
      <w:keepLines/>
      <w:numPr>
        <w:ilvl w:val="1"/>
        <w:numId w:val="1"/>
      </w:numPr>
      <w:spacing w:after="240" w:line="240" w:lineRule="auto"/>
      <w:outlineLvl w:val="1"/>
    </w:pPr>
    <w:rPr>
      <w:rFonts w:eastAsia="Times New Roman"/>
      <w:b/>
      <w:bCs/>
      <w:sz w:val="26"/>
      <w:szCs w:val="26"/>
    </w:rPr>
  </w:style>
  <w:style w:type="paragraph" w:styleId="4">
    <w:name w:val="heading 3"/>
    <w:basedOn w:val="1"/>
    <w:next w:val="1"/>
    <w:link w:val="44"/>
    <w:qFormat/>
    <w:uiPriority w:val="9"/>
    <w:pPr>
      <w:keepNext/>
      <w:keepLines/>
      <w:numPr>
        <w:ilvl w:val="2"/>
        <w:numId w:val="1"/>
      </w:numPr>
      <w:spacing w:after="60" w:line="264" w:lineRule="auto"/>
      <w:outlineLvl w:val="2"/>
    </w:pPr>
    <w:rPr>
      <w:rFonts w:eastAsia="Times New Roman"/>
      <w:b/>
      <w:bCs/>
      <w:i/>
      <w:sz w:val="26"/>
      <w:szCs w:val="22"/>
    </w:rPr>
  </w:style>
  <w:style w:type="paragraph" w:styleId="5">
    <w:name w:val="heading 5"/>
    <w:basedOn w:val="1"/>
    <w:next w:val="1"/>
    <w:link w:val="45"/>
    <w:qFormat/>
    <w:uiPriority w:val="9"/>
    <w:pPr>
      <w:keepNext/>
      <w:keepLines/>
      <w:numPr>
        <w:ilvl w:val="4"/>
        <w:numId w:val="1"/>
      </w:numPr>
      <w:spacing w:before="200" w:after="0" w:line="264" w:lineRule="auto"/>
      <w:jc w:val="both"/>
      <w:outlineLvl w:val="4"/>
    </w:pPr>
    <w:rPr>
      <w:rFonts w:ascii="Cambria" w:hAnsi="Cambria" w:eastAsia="Times New Roman"/>
      <w:color w:val="243F60"/>
      <w:sz w:val="26"/>
      <w:szCs w:val="22"/>
    </w:rPr>
  </w:style>
  <w:style w:type="paragraph" w:styleId="6">
    <w:name w:val="heading 6"/>
    <w:basedOn w:val="1"/>
    <w:next w:val="1"/>
    <w:link w:val="46"/>
    <w:qFormat/>
    <w:uiPriority w:val="9"/>
    <w:pPr>
      <w:keepNext/>
      <w:keepLines/>
      <w:numPr>
        <w:ilvl w:val="5"/>
        <w:numId w:val="1"/>
      </w:numPr>
      <w:spacing w:before="200" w:after="0" w:line="264" w:lineRule="auto"/>
      <w:jc w:val="both"/>
      <w:outlineLvl w:val="5"/>
    </w:pPr>
    <w:rPr>
      <w:rFonts w:ascii="Cambria" w:hAnsi="Cambria" w:eastAsia="Times New Roman"/>
      <w:i/>
      <w:iCs/>
      <w:color w:val="243F60"/>
      <w:sz w:val="26"/>
      <w:szCs w:val="22"/>
    </w:rPr>
  </w:style>
  <w:style w:type="paragraph" w:styleId="7">
    <w:name w:val="heading 7"/>
    <w:basedOn w:val="1"/>
    <w:next w:val="1"/>
    <w:link w:val="47"/>
    <w:qFormat/>
    <w:uiPriority w:val="9"/>
    <w:pPr>
      <w:keepNext/>
      <w:keepLines/>
      <w:numPr>
        <w:ilvl w:val="6"/>
        <w:numId w:val="1"/>
      </w:numPr>
      <w:spacing w:before="200" w:after="0" w:line="264" w:lineRule="auto"/>
      <w:jc w:val="both"/>
      <w:outlineLvl w:val="6"/>
    </w:pPr>
    <w:rPr>
      <w:rFonts w:ascii="Cambria" w:hAnsi="Cambria" w:eastAsia="Times New Roman"/>
      <w:i/>
      <w:iCs/>
      <w:color w:val="404040"/>
      <w:sz w:val="26"/>
      <w:szCs w:val="22"/>
    </w:rPr>
  </w:style>
  <w:style w:type="paragraph" w:styleId="8">
    <w:name w:val="heading 8"/>
    <w:basedOn w:val="1"/>
    <w:next w:val="1"/>
    <w:link w:val="48"/>
    <w:qFormat/>
    <w:uiPriority w:val="9"/>
    <w:pPr>
      <w:keepNext/>
      <w:keepLines/>
      <w:numPr>
        <w:ilvl w:val="7"/>
        <w:numId w:val="1"/>
      </w:numPr>
      <w:spacing w:before="200" w:after="0" w:line="264" w:lineRule="auto"/>
      <w:jc w:val="both"/>
      <w:outlineLvl w:val="7"/>
    </w:pPr>
    <w:rPr>
      <w:rFonts w:ascii="Cambria" w:hAnsi="Cambria" w:eastAsia="Times New Roman"/>
      <w:color w:val="404040"/>
      <w:sz w:val="20"/>
      <w:szCs w:val="20"/>
    </w:rPr>
  </w:style>
  <w:style w:type="paragraph" w:styleId="9">
    <w:name w:val="heading 9"/>
    <w:basedOn w:val="1"/>
    <w:next w:val="1"/>
    <w:link w:val="49"/>
    <w:qFormat/>
    <w:uiPriority w:val="9"/>
    <w:pPr>
      <w:keepNext/>
      <w:keepLines/>
      <w:numPr>
        <w:ilvl w:val="8"/>
        <w:numId w:val="1"/>
      </w:numPr>
      <w:spacing w:before="200" w:after="0" w:line="264" w:lineRule="auto"/>
      <w:jc w:val="both"/>
      <w:outlineLvl w:val="8"/>
    </w:pPr>
    <w:rPr>
      <w:rFonts w:ascii="Cambria" w:hAnsi="Cambria" w:eastAsia="Times New Roman"/>
      <w:i/>
      <w:iCs/>
      <w:color w:val="404040"/>
      <w:sz w:val="20"/>
      <w:szCs w:val="20"/>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36"/>
    <w:semiHidden/>
    <w:unhideWhenUsed/>
    <w:uiPriority w:val="99"/>
    <w:pPr>
      <w:spacing w:before="0" w:after="0" w:line="240" w:lineRule="auto"/>
    </w:pPr>
    <w:rPr>
      <w:rFonts w:ascii="Segoe UI" w:hAnsi="Segoe UI" w:cs="Segoe UI"/>
      <w:sz w:val="18"/>
      <w:szCs w:val="18"/>
    </w:rPr>
  </w:style>
  <w:style w:type="paragraph" w:styleId="13">
    <w:name w:val="Block Text"/>
    <w:basedOn w:val="1"/>
    <w:qFormat/>
    <w:uiPriority w:val="0"/>
    <w:pPr>
      <w:spacing w:line="320" w:lineRule="atLeast"/>
      <w:ind w:left="513" w:right="11"/>
      <w:jc w:val="both"/>
    </w:pPr>
    <w:rPr>
      <w:rFonts w:ascii=".VnTime" w:hAnsi=".VnTime" w:eastAsia="Times New Roman"/>
    </w:rPr>
  </w:style>
  <w:style w:type="paragraph" w:styleId="14">
    <w:name w:val="Body Text Indent"/>
    <w:basedOn w:val="1"/>
    <w:link w:val="51"/>
    <w:uiPriority w:val="99"/>
    <w:pPr>
      <w:spacing w:after="0" w:line="240" w:lineRule="auto"/>
      <w:ind w:firstLine="720"/>
      <w:jc w:val="both"/>
    </w:pPr>
    <w:rPr>
      <w:rFonts w:ascii="VNI-Times" w:hAnsi="VNI-Times" w:eastAsia="Times New Roman"/>
      <w:color w:val="000000"/>
      <w:sz w:val="26"/>
      <w:szCs w:val="20"/>
    </w:rPr>
  </w:style>
  <w:style w:type="character" w:styleId="15">
    <w:name w:val="annotation reference"/>
    <w:semiHidden/>
    <w:unhideWhenUsed/>
    <w:qFormat/>
    <w:uiPriority w:val="99"/>
    <w:rPr>
      <w:sz w:val="16"/>
      <w:szCs w:val="16"/>
    </w:rPr>
  </w:style>
  <w:style w:type="paragraph" w:styleId="16">
    <w:name w:val="annotation text"/>
    <w:basedOn w:val="1"/>
    <w:link w:val="34"/>
    <w:semiHidden/>
    <w:unhideWhenUsed/>
    <w:uiPriority w:val="99"/>
    <w:pPr>
      <w:spacing w:line="240" w:lineRule="auto"/>
    </w:pPr>
    <w:rPr>
      <w:sz w:val="20"/>
      <w:szCs w:val="20"/>
    </w:rPr>
  </w:style>
  <w:style w:type="paragraph" w:styleId="17">
    <w:name w:val="annotation subject"/>
    <w:basedOn w:val="16"/>
    <w:next w:val="16"/>
    <w:link w:val="35"/>
    <w:semiHidden/>
    <w:unhideWhenUsed/>
    <w:uiPriority w:val="99"/>
    <w:rPr>
      <w:b/>
      <w:bCs/>
    </w:rPr>
  </w:style>
  <w:style w:type="character" w:styleId="18">
    <w:name w:val="endnote reference"/>
    <w:semiHidden/>
    <w:unhideWhenUsed/>
    <w:qFormat/>
    <w:uiPriority w:val="99"/>
    <w:rPr>
      <w:vertAlign w:val="superscript"/>
    </w:rPr>
  </w:style>
  <w:style w:type="paragraph" w:styleId="19">
    <w:name w:val="endnote text"/>
    <w:basedOn w:val="1"/>
    <w:link w:val="40"/>
    <w:semiHidden/>
    <w:unhideWhenUsed/>
    <w:uiPriority w:val="99"/>
    <w:pPr>
      <w:spacing w:before="0" w:after="0" w:line="240" w:lineRule="auto"/>
    </w:pPr>
    <w:rPr>
      <w:sz w:val="20"/>
      <w:szCs w:val="20"/>
    </w:rPr>
  </w:style>
  <w:style w:type="paragraph" w:styleId="20">
    <w:name w:val="footer"/>
    <w:basedOn w:val="1"/>
    <w:link w:val="29"/>
    <w:unhideWhenUsed/>
    <w:qFormat/>
    <w:uiPriority w:val="99"/>
    <w:pPr>
      <w:tabs>
        <w:tab w:val="center" w:pos="4680"/>
        <w:tab w:val="right" w:pos="9360"/>
      </w:tabs>
      <w:spacing w:before="0" w:after="0" w:line="240" w:lineRule="auto"/>
    </w:pPr>
  </w:style>
  <w:style w:type="character" w:styleId="21">
    <w:name w:val="footnote reference"/>
    <w:link w:val="22"/>
    <w:unhideWhenUsed/>
    <w:qFormat/>
    <w:uiPriority w:val="99"/>
    <w:rPr>
      <w:vertAlign w:val="superscript"/>
    </w:rPr>
  </w:style>
  <w:style w:type="paragraph" w:customStyle="1" w:styleId="22">
    <w:name w:val="BVI fnr Car Car"/>
    <w:basedOn w:val="1"/>
    <w:link w:val="21"/>
    <w:qFormat/>
    <w:uiPriority w:val="99"/>
    <w:pPr>
      <w:spacing w:before="0" w:after="160" w:line="240" w:lineRule="exact"/>
    </w:pPr>
    <w:rPr>
      <w:vertAlign w:val="superscript"/>
    </w:rPr>
  </w:style>
  <w:style w:type="paragraph" w:styleId="23">
    <w:name w:val="footnote text"/>
    <w:basedOn w:val="1"/>
    <w:link w:val="32"/>
    <w:unhideWhenUsed/>
    <w:qFormat/>
    <w:uiPriority w:val="99"/>
    <w:pPr>
      <w:spacing w:before="0" w:after="0" w:line="240" w:lineRule="auto"/>
    </w:pPr>
    <w:rPr>
      <w:sz w:val="20"/>
      <w:szCs w:val="20"/>
    </w:rPr>
  </w:style>
  <w:style w:type="paragraph" w:styleId="24">
    <w:name w:val="header"/>
    <w:basedOn w:val="1"/>
    <w:link w:val="28"/>
    <w:unhideWhenUsed/>
    <w:qFormat/>
    <w:uiPriority w:val="99"/>
    <w:pPr>
      <w:tabs>
        <w:tab w:val="center" w:pos="4680"/>
        <w:tab w:val="right" w:pos="9360"/>
      </w:tabs>
      <w:spacing w:before="0" w:after="0" w:line="240" w:lineRule="auto"/>
    </w:pPr>
  </w:style>
  <w:style w:type="paragraph" w:styleId="25">
    <w:name w:val="Normal (Web)"/>
    <w:basedOn w:val="1"/>
    <w:link w:val="39"/>
    <w:unhideWhenUsed/>
    <w:qFormat/>
    <w:uiPriority w:val="99"/>
    <w:pPr>
      <w:spacing w:before="100" w:beforeAutospacing="1" w:after="100" w:afterAutospacing="1" w:line="240" w:lineRule="auto"/>
    </w:pPr>
    <w:rPr>
      <w:rFonts w:eastAsia="Times New Roman"/>
      <w:sz w:val="24"/>
      <w:szCs w:val="20"/>
    </w:rPr>
  </w:style>
  <w:style w:type="table" w:styleId="26">
    <w:name w:val="Table Grid"/>
    <w:basedOn w:val="11"/>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7">
    <w:name w:val="List Paragraph"/>
    <w:basedOn w:val="1"/>
    <w:link w:val="52"/>
    <w:qFormat/>
    <w:uiPriority w:val="0"/>
    <w:pPr>
      <w:ind w:left="720"/>
      <w:contextualSpacing/>
    </w:pPr>
  </w:style>
  <w:style w:type="character" w:customStyle="1" w:styleId="28">
    <w:name w:val="Header Char"/>
    <w:basedOn w:val="10"/>
    <w:link w:val="24"/>
    <w:qFormat/>
    <w:uiPriority w:val="99"/>
  </w:style>
  <w:style w:type="character" w:customStyle="1" w:styleId="29">
    <w:name w:val="Footer Char"/>
    <w:basedOn w:val="10"/>
    <w:link w:val="20"/>
    <w:qFormat/>
    <w:uiPriority w:val="99"/>
  </w:style>
  <w:style w:type="paragraph" w:customStyle="1" w:styleId="30">
    <w:name w:val="Footnote Text Char Char Char Char Char Char Ch Char Char Ch1"/>
    <w:basedOn w:val="1"/>
    <w:next w:val="23"/>
    <w:link w:val="31"/>
    <w:unhideWhenUsed/>
    <w:qFormat/>
    <w:uiPriority w:val="99"/>
    <w:pPr>
      <w:spacing w:before="0" w:after="0" w:line="240" w:lineRule="auto"/>
    </w:pPr>
    <w:rPr>
      <w:sz w:val="20"/>
      <w:szCs w:val="20"/>
    </w:rPr>
  </w:style>
  <w:style w:type="character" w:customStyle="1" w:styleId="31">
    <w:name w:val="Footnote Text Char"/>
    <w:link w:val="30"/>
    <w:qFormat/>
    <w:uiPriority w:val="99"/>
    <w:rPr>
      <w:sz w:val="20"/>
      <w:szCs w:val="20"/>
    </w:rPr>
  </w:style>
  <w:style w:type="character" w:customStyle="1" w:styleId="32">
    <w:name w:val="Footnote Text Char1"/>
    <w:link w:val="23"/>
    <w:uiPriority w:val="99"/>
    <w:rPr>
      <w:sz w:val="20"/>
      <w:szCs w:val="20"/>
    </w:rPr>
  </w:style>
  <w:style w:type="character" w:customStyle="1" w:styleId="33">
    <w:name w:val="fontstyle01"/>
    <w:uiPriority w:val="0"/>
    <w:rPr>
      <w:rFonts w:ascii="TimesNewRomanPSMT" w:hAnsi="TimesNewRomanPSMT"/>
      <w:color w:val="000000"/>
      <w:sz w:val="28"/>
    </w:rPr>
  </w:style>
  <w:style w:type="character" w:customStyle="1" w:styleId="34">
    <w:name w:val="Comment Text Char"/>
    <w:link w:val="16"/>
    <w:semiHidden/>
    <w:uiPriority w:val="99"/>
    <w:rPr>
      <w:sz w:val="20"/>
      <w:szCs w:val="20"/>
    </w:rPr>
  </w:style>
  <w:style w:type="character" w:customStyle="1" w:styleId="35">
    <w:name w:val="Comment Subject Char"/>
    <w:link w:val="17"/>
    <w:semiHidden/>
    <w:uiPriority w:val="99"/>
    <w:rPr>
      <w:b/>
      <w:bCs/>
      <w:sz w:val="20"/>
      <w:szCs w:val="20"/>
    </w:rPr>
  </w:style>
  <w:style w:type="character" w:customStyle="1" w:styleId="36">
    <w:name w:val="Balloon Text Char"/>
    <w:link w:val="12"/>
    <w:semiHidden/>
    <w:uiPriority w:val="99"/>
    <w:rPr>
      <w:rFonts w:ascii="Segoe UI" w:hAnsi="Segoe UI" w:cs="Segoe UI"/>
      <w:sz w:val="18"/>
      <w:szCs w:val="18"/>
    </w:rPr>
  </w:style>
  <w:style w:type="paragraph" w:customStyle="1" w:styleId="37">
    <w:name w:val="Ku"/>
    <w:basedOn w:val="1"/>
    <w:link w:val="38"/>
    <w:qFormat/>
    <w:uiPriority w:val="0"/>
    <w:pPr>
      <w:spacing w:before="60" w:after="0" w:line="240" w:lineRule="auto"/>
      <w:ind w:firstLine="709"/>
      <w:jc w:val="both"/>
    </w:pPr>
    <w:rPr>
      <w:rFonts w:eastAsia="Times New Roman"/>
      <w:sz w:val="26"/>
      <w:szCs w:val="26"/>
    </w:rPr>
  </w:style>
  <w:style w:type="character" w:customStyle="1" w:styleId="38">
    <w:name w:val="Ku Char"/>
    <w:link w:val="37"/>
    <w:uiPriority w:val="0"/>
    <w:rPr>
      <w:rFonts w:eastAsia="Times New Roman"/>
      <w:sz w:val="26"/>
      <w:szCs w:val="26"/>
    </w:rPr>
  </w:style>
  <w:style w:type="character" w:customStyle="1" w:styleId="39">
    <w:name w:val="Normal (Web) Char"/>
    <w:link w:val="25"/>
    <w:qFormat/>
    <w:locked/>
    <w:uiPriority w:val="99"/>
    <w:rPr>
      <w:rFonts w:eastAsia="Times New Roman"/>
      <w:sz w:val="24"/>
      <w:szCs w:val="20"/>
    </w:rPr>
  </w:style>
  <w:style w:type="character" w:customStyle="1" w:styleId="40">
    <w:name w:val="Endnote Text Char"/>
    <w:link w:val="19"/>
    <w:semiHidden/>
    <w:qFormat/>
    <w:uiPriority w:val="99"/>
    <w:rPr>
      <w:sz w:val="20"/>
      <w:szCs w:val="20"/>
    </w:rPr>
  </w:style>
  <w:style w:type="paragraph" w:customStyle="1" w:styleId="41">
    <w:name w:val="Revision"/>
    <w:hidden/>
    <w:semiHidden/>
    <w:qFormat/>
    <w:uiPriority w:val="99"/>
    <w:rPr>
      <w:rFonts w:ascii="Times New Roman" w:hAnsi="Times New Roman" w:eastAsia="Calibri" w:cs="Times New Roman"/>
      <w:sz w:val="28"/>
      <w:szCs w:val="28"/>
      <w:lang w:val="en-US" w:eastAsia="en-US" w:bidi="ar-SA"/>
    </w:rPr>
  </w:style>
  <w:style w:type="character" w:customStyle="1" w:styleId="42">
    <w:name w:val="Heading 1 Char"/>
    <w:basedOn w:val="10"/>
    <w:link w:val="2"/>
    <w:uiPriority w:val="9"/>
    <w:rPr>
      <w:rFonts w:ascii="Times New Roman Bold" w:hAnsi="Times New Roman Bold"/>
      <w:b/>
      <w:caps/>
      <w:sz w:val="26"/>
      <w:szCs w:val="22"/>
    </w:rPr>
  </w:style>
  <w:style w:type="character" w:customStyle="1" w:styleId="43">
    <w:name w:val="Heading 2 Char"/>
    <w:basedOn w:val="10"/>
    <w:link w:val="3"/>
    <w:qFormat/>
    <w:uiPriority w:val="9"/>
    <w:rPr>
      <w:rFonts w:eastAsia="Times New Roman"/>
      <w:b/>
      <w:bCs/>
      <w:sz w:val="26"/>
      <w:szCs w:val="26"/>
    </w:rPr>
  </w:style>
  <w:style w:type="character" w:customStyle="1" w:styleId="44">
    <w:name w:val="Heading 3 Char"/>
    <w:basedOn w:val="10"/>
    <w:link w:val="4"/>
    <w:qFormat/>
    <w:uiPriority w:val="9"/>
    <w:rPr>
      <w:rFonts w:eastAsia="Times New Roman"/>
      <w:b/>
      <w:bCs/>
      <w:i/>
      <w:sz w:val="26"/>
      <w:szCs w:val="22"/>
    </w:rPr>
  </w:style>
  <w:style w:type="character" w:customStyle="1" w:styleId="45">
    <w:name w:val="Heading 5 Char"/>
    <w:basedOn w:val="10"/>
    <w:link w:val="5"/>
    <w:uiPriority w:val="9"/>
    <w:rPr>
      <w:rFonts w:ascii="Cambria" w:hAnsi="Cambria" w:eastAsia="Times New Roman"/>
      <w:color w:val="243F60"/>
      <w:sz w:val="26"/>
      <w:szCs w:val="22"/>
    </w:rPr>
  </w:style>
  <w:style w:type="character" w:customStyle="1" w:styleId="46">
    <w:name w:val="Heading 6 Char"/>
    <w:basedOn w:val="10"/>
    <w:link w:val="6"/>
    <w:qFormat/>
    <w:uiPriority w:val="9"/>
    <w:rPr>
      <w:rFonts w:ascii="Cambria" w:hAnsi="Cambria" w:eastAsia="Times New Roman"/>
      <w:i/>
      <w:iCs/>
      <w:color w:val="243F60"/>
      <w:sz w:val="26"/>
      <w:szCs w:val="22"/>
    </w:rPr>
  </w:style>
  <w:style w:type="character" w:customStyle="1" w:styleId="47">
    <w:name w:val="Heading 7 Char"/>
    <w:basedOn w:val="10"/>
    <w:link w:val="7"/>
    <w:qFormat/>
    <w:uiPriority w:val="9"/>
    <w:rPr>
      <w:rFonts w:ascii="Cambria" w:hAnsi="Cambria" w:eastAsia="Times New Roman"/>
      <w:i/>
      <w:iCs/>
      <w:color w:val="404040"/>
      <w:sz w:val="26"/>
      <w:szCs w:val="22"/>
    </w:rPr>
  </w:style>
  <w:style w:type="character" w:customStyle="1" w:styleId="48">
    <w:name w:val="Heading 8 Char"/>
    <w:basedOn w:val="10"/>
    <w:link w:val="8"/>
    <w:uiPriority w:val="9"/>
    <w:rPr>
      <w:rFonts w:ascii="Cambria" w:hAnsi="Cambria" w:eastAsia="Times New Roman"/>
      <w:color w:val="404040"/>
    </w:rPr>
  </w:style>
  <w:style w:type="character" w:customStyle="1" w:styleId="49">
    <w:name w:val="Heading 9 Char"/>
    <w:basedOn w:val="10"/>
    <w:link w:val="9"/>
    <w:qFormat/>
    <w:uiPriority w:val="9"/>
    <w:rPr>
      <w:rFonts w:ascii="Cambria" w:hAnsi="Cambria" w:eastAsia="Times New Roman"/>
      <w:i/>
      <w:iCs/>
      <w:color w:val="404040"/>
    </w:rPr>
  </w:style>
  <w:style w:type="character" w:customStyle="1" w:styleId="50">
    <w:name w:val="Body Text Indent Char"/>
    <w:basedOn w:val="10"/>
    <w:semiHidden/>
    <w:uiPriority w:val="99"/>
    <w:rPr>
      <w:sz w:val="28"/>
      <w:szCs w:val="28"/>
    </w:rPr>
  </w:style>
  <w:style w:type="character" w:customStyle="1" w:styleId="51">
    <w:name w:val="Body Text Indent Char1"/>
    <w:link w:val="14"/>
    <w:uiPriority w:val="99"/>
    <w:rPr>
      <w:rFonts w:ascii="VNI-Times" w:hAnsi="VNI-Times" w:eastAsia="Times New Roman"/>
      <w:color w:val="000000"/>
      <w:sz w:val="26"/>
    </w:rPr>
  </w:style>
  <w:style w:type="character" w:customStyle="1" w:styleId="52">
    <w:name w:val="List Paragraph Char"/>
    <w:link w:val="27"/>
    <w:qFormat/>
    <w:locked/>
    <w:uiPriority w:val="0"/>
    <w:rPr>
      <w:sz w:val="28"/>
      <w:szCs w:val="28"/>
    </w:rPr>
  </w:style>
  <w:style w:type="character" w:customStyle="1" w:styleId="53">
    <w:name w:val="Body text (8)_"/>
    <w:basedOn w:val="10"/>
    <w:link w:val="54"/>
    <w:uiPriority w:val="0"/>
    <w:rPr>
      <w:rFonts w:ascii="Cambria" w:hAnsi="Cambria" w:eastAsia="Cambria" w:cs="Cambria"/>
      <w:sz w:val="26"/>
      <w:szCs w:val="26"/>
      <w:shd w:val="clear" w:color="auto" w:fill="FFFFFF"/>
    </w:rPr>
  </w:style>
  <w:style w:type="paragraph" w:customStyle="1" w:styleId="54">
    <w:name w:val="Body text (8)"/>
    <w:basedOn w:val="1"/>
    <w:link w:val="53"/>
    <w:uiPriority w:val="0"/>
    <w:pPr>
      <w:widowControl w:val="0"/>
      <w:shd w:val="clear" w:color="auto" w:fill="FFFFFF"/>
      <w:spacing w:before="360" w:after="0" w:line="322" w:lineRule="exact"/>
      <w:jc w:val="both"/>
    </w:pPr>
    <w:rPr>
      <w:rFonts w:ascii="Cambria" w:hAnsi="Cambria" w:eastAsia="Cambria" w:cs="Cambria"/>
      <w:sz w:val="26"/>
      <w:szCs w:val="26"/>
    </w:rPr>
  </w:style>
  <w:style w:type="table" w:customStyle="1" w:styleId="55">
    <w:name w:val="Table Grid1"/>
    <w:basedOn w:val="11"/>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5916A-A95B-4C7A-9A09-FBB2FC01C122}">
  <ds:schemaRefs/>
</ds:datastoreItem>
</file>

<file path=customXml/itemProps3.xml><?xml version="1.0" encoding="utf-8"?>
<ds:datastoreItem xmlns:ds="http://schemas.openxmlformats.org/officeDocument/2006/customXml" ds:itemID="{F5FEB316-E82E-45B6-92B5-A36FFF09905B}">
  <ds:schemaRefs/>
</ds:datastoreItem>
</file>

<file path=customXml/itemProps4.xml><?xml version="1.0" encoding="utf-8"?>
<ds:datastoreItem xmlns:ds="http://schemas.openxmlformats.org/officeDocument/2006/customXml" ds:itemID="{D31E1E9F-E224-4192-85C8-23137F467FE1}">
  <ds:schemaRefs/>
</ds:datastoreItem>
</file>

<file path=customXml/itemProps5.xml><?xml version="1.0" encoding="utf-8"?>
<ds:datastoreItem xmlns:ds="http://schemas.openxmlformats.org/officeDocument/2006/customXml" ds:itemID="{AB561DE8-58DC-44B0-B33E-47A57714A0B6}">
  <ds:schemaRefs/>
</ds:datastoreItem>
</file>

<file path=docProps/app.xml><?xml version="1.0" encoding="utf-8"?>
<Properties xmlns="http://schemas.openxmlformats.org/officeDocument/2006/extended-properties" xmlns:vt="http://schemas.openxmlformats.org/officeDocument/2006/docPropsVTypes">
  <Template>Normal</Template>
  <Pages>6</Pages>
  <Words>1754</Words>
  <Characters>9999</Characters>
  <Lines>83</Lines>
  <Paragraphs>23</Paragraphs>
  <TotalTime>110</TotalTime>
  <ScaleCrop>false</ScaleCrop>
  <LinksUpToDate>false</LinksUpToDate>
  <CharactersWithSpaces>11730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2024-06-24T02:33:00Z</dcterms:created>
  <dc:creator>dund</dc:creator>
  <cp:lastModifiedBy>Huyen Le</cp:lastModifiedBy>
  <cp:lastPrinted>2024-07-17T04:08:00Z</cp:lastPrinted>
  <dcterms:modified xsi:type="dcterms:W3CDTF">2024-10-28T02:38:42Z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2024-04-15T01:16:33Z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0ac104c4-ab91-46b0-97c4-e7e8910b6109</vt:lpwstr>
  </property>
  <property fmtid="{D5CDD505-2E9C-101B-9397-08002B2CF9AE}" pid="8" name="MSIP_Label_defa4170-0d19-0005-0004-bc88714345d2_ContentBits">
    <vt:lpwstr>0</vt:lpwstr>
  </property>
  <property fmtid="{D5CDD505-2E9C-101B-9397-08002B2CF9AE}" pid="9" name="KSOProductBuildVer">
    <vt:lpwstr>1033-12.2.0.18607</vt:lpwstr>
  </property>
  <property fmtid="{D5CDD505-2E9C-101B-9397-08002B2CF9AE}" pid="10" name="ICV">
    <vt:lpwstr>6BC86A4CFAFD4869B10C1CFEC8115F2C_13</vt:lpwstr>
  </property>
</Properties>
</file>